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560" w:lineRule="atLeast"/>
        <w:ind w:left="0" w:right="0" w:firstLine="562"/>
        <w:jc w:val="both"/>
        <w:outlineLvl w:val="0"/>
        <w:rPr>
          <w:rFonts w:hint="default" w:ascii="Times New Roman" w:hAnsi="Times New Roman" w:eastAsia="微软雅黑" w:cs="Times New Roman"/>
          <w:b w:val="0"/>
          <w:bCs w:val="0"/>
          <w:caps w:val="0"/>
          <w:color w:val="000000" w:themeColor="text1"/>
          <w:spacing w:val="0"/>
          <w:kern w:val="0"/>
          <w:sz w:val="32"/>
          <w:szCs w:val="32"/>
          <w:lang w:val="en-US" w:eastAsia="zh-CN" w:bidi="ar"/>
          <w14:textFill>
            <w14:solidFill>
              <w14:schemeClr w14:val="tx1"/>
            </w14:solidFill>
          </w14:textFill>
        </w:rPr>
      </w:pPr>
      <w:r>
        <w:rPr>
          <w:rFonts w:hint="default" w:ascii="Times New Roman" w:hAnsi="Times New Roman" w:eastAsia="微软雅黑" w:cs="Times New Roman"/>
          <w:b w:val="0"/>
          <w:bCs w:val="0"/>
          <w:caps w:val="0"/>
          <w:color w:val="000000" w:themeColor="text1"/>
          <w:spacing w:val="0"/>
          <w:kern w:val="0"/>
          <w:sz w:val="32"/>
          <w:szCs w:val="32"/>
          <w:lang w:val="en-US" w:eastAsia="zh-CN" w:bidi="ar"/>
          <w14:textFill>
            <w14:solidFill>
              <w14:schemeClr w14:val="tx1"/>
            </w14:solidFill>
          </w14:textFill>
        </w:rPr>
        <w:t>关于开展202</w:t>
      </w:r>
      <w:r>
        <w:rPr>
          <w:rFonts w:hint="eastAsia" w:ascii="Times New Roman" w:hAnsi="Times New Roman" w:eastAsia="微软雅黑" w:cs="Times New Roman"/>
          <w:b w:val="0"/>
          <w:bCs w:val="0"/>
          <w:caps w:val="0"/>
          <w:color w:val="000000" w:themeColor="text1"/>
          <w:spacing w:val="0"/>
          <w:kern w:val="0"/>
          <w:sz w:val="32"/>
          <w:szCs w:val="32"/>
          <w:lang w:val="en-US" w:eastAsia="zh-CN" w:bidi="ar"/>
          <w14:textFill>
            <w14:solidFill>
              <w14:schemeClr w14:val="tx1"/>
            </w14:solidFill>
          </w14:textFill>
        </w:rPr>
        <w:t>4</w:t>
      </w:r>
      <w:r>
        <w:rPr>
          <w:rFonts w:hint="default" w:ascii="Times New Roman" w:hAnsi="Times New Roman" w:eastAsia="微软雅黑" w:cs="Times New Roman"/>
          <w:b w:val="0"/>
          <w:bCs w:val="0"/>
          <w:caps w:val="0"/>
          <w:color w:val="000000" w:themeColor="text1"/>
          <w:spacing w:val="0"/>
          <w:kern w:val="0"/>
          <w:sz w:val="32"/>
          <w:szCs w:val="32"/>
          <w:lang w:val="en-US" w:eastAsia="zh-CN" w:bidi="ar"/>
          <w14:textFill>
            <w14:solidFill>
              <w14:schemeClr w14:val="tx1"/>
            </w14:solidFill>
          </w14:textFill>
        </w:rPr>
        <w:t>年校级教研教改项目申报工作的通知</w:t>
      </w:r>
    </w:p>
    <w:p>
      <w:pPr>
        <w:keepNext w:val="0"/>
        <w:keepLines w:val="0"/>
        <w:pageBreakBefore w:val="0"/>
        <w:shd w:val="clear"/>
        <w:kinsoku/>
        <w:wordWrap/>
        <w:overflowPunct/>
        <w:topLinePunct w:val="0"/>
        <w:autoSpaceDE/>
        <w:autoSpaceDN/>
        <w:bidi w:val="0"/>
        <w:adjustRightInd/>
        <w:snapToGrid/>
        <w:spacing w:line="480" w:lineRule="exact"/>
        <w:jc w:val="both"/>
        <w:textAlignment w:val="auto"/>
        <w:rPr>
          <w:rFonts w:hint="default" w:ascii="Times New Roman" w:hAnsi="Times New Roman" w:eastAsia="仿宋" w:cs="Times New Roman"/>
          <w:color w:val="000000" w:themeColor="text1"/>
          <w:sz w:val="28"/>
          <w:szCs w:val="28"/>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pP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各教学单位：</w:t>
      </w:r>
    </w:p>
    <w:p>
      <w:pPr>
        <w:keepNext w:val="0"/>
        <w:keepLines w:val="0"/>
        <w:pageBreakBefore w:val="0"/>
        <w:kinsoku/>
        <w:wordWrap/>
        <w:overflowPunct/>
        <w:topLinePunct w:val="0"/>
        <w:autoSpaceDE/>
        <w:autoSpaceDN/>
        <w:bidi w:val="0"/>
        <w:adjustRightInd/>
        <w:snapToGrid/>
        <w:spacing w:line="520" w:lineRule="exact"/>
        <w:ind w:firstLine="560" w:firstLineChars="200"/>
        <w:jc w:val="both"/>
        <w:textAlignment w:val="auto"/>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pP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为进一步深化教学改革，引导广大教师和教学管理人员结合我校实际，积极研究学校教育教学改革面临的新问题、新情况、新要求，探索教育教学改革新方法、新路径、新模式，提升教育教学水平与人才培养质量，培育积累优秀教学改革成果，启动</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2024</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年校级教研教改项目申报工作，现将有关事宜通知如下：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0" w:right="0" w:firstLine="562"/>
        <w:jc w:val="both"/>
        <w:textAlignment w:val="auto"/>
        <w:outlineLvl w:val="0"/>
        <w:rPr>
          <w:rFonts w:hint="default" w:ascii="Times New Roman" w:hAnsi="Times New Roman" w:cs="Times New Roman"/>
          <w:color w:val="000000" w:themeColor="text1"/>
          <w14:textFill>
            <w14:solidFill>
              <w14:schemeClr w14:val="tx1"/>
            </w14:solidFill>
          </w14:textFill>
        </w:rPr>
      </w:pP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一</w:t>
      </w:r>
      <w:r>
        <w:rPr>
          <w:rFonts w:hint="default"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w:t>
      </w: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立项领域</w:t>
      </w:r>
      <w:r>
        <w:rPr>
          <w:rFonts w:hint="default"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及</w:t>
      </w: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结题</w:t>
      </w:r>
      <w:r>
        <w:rPr>
          <w:rFonts w:hint="default"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要求</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520" w:lineRule="exact"/>
        <w:ind w:firstLine="562" w:firstLineChars="200"/>
        <w:jc w:val="both"/>
        <w:textAlignment w:val="auto"/>
        <w:outlineLvl w:val="1"/>
        <w:rPr>
          <w:rFonts w:hint="default"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pPr>
      <w:r>
        <w:rPr>
          <w:rFonts w:hint="default"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t>（一）</w:t>
      </w: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综合教育教学改革</w:t>
      </w:r>
    </w:p>
    <w:p>
      <w:pPr>
        <w:keepNext w:val="0"/>
        <w:keepLines w:val="0"/>
        <w:pageBreakBefore w:val="0"/>
        <w:kinsoku/>
        <w:wordWrap/>
        <w:overflowPunct/>
        <w:topLinePunct w:val="0"/>
        <w:autoSpaceDE/>
        <w:autoSpaceDN/>
        <w:bidi w:val="0"/>
        <w:adjustRightInd/>
        <w:snapToGrid/>
        <w:spacing w:line="520" w:lineRule="exact"/>
        <w:ind w:firstLine="560" w:firstLineChars="200"/>
        <w:jc w:val="both"/>
        <w:textAlignment w:val="auto"/>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pPr>
      <w:r>
        <w:rPr>
          <w:rFonts w:hint="eastAsia" w:ascii="仿宋_GB2312" w:hAnsi="仿宋_GB2312" w:eastAsia="仿宋_GB2312" w:cs="仿宋_GB2312"/>
          <w:sz w:val="28"/>
          <w:szCs w:val="28"/>
          <w:lang w:val="en-US" w:eastAsia="zh-CN"/>
        </w:rPr>
        <w:t>对校院重大教学事项进行综合改革研究</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从</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构建“大思政”育人格局</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加强卓越拔尖人才培养</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深化新工科</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新医科</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新农科</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新文科建设</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，推进产教融合、产业学院建设，深化实验实践教学改革，</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深化创新创业教育改革</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推进教育教学数字化</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加强教师教育</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提高教师教学能力</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深化教育教学评价改革</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，加强闽台合作，质量文化建设</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等</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方面确立主题，明确路径，突出学院特色</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。由单位领导、系室主任、专业负责人负责组织实施，原则上申报人须有高级职称。</w:t>
      </w:r>
    </w:p>
    <w:p>
      <w:pPr>
        <w:keepNext w:val="0"/>
        <w:keepLines w:val="0"/>
        <w:pageBreakBefore w:val="0"/>
        <w:kinsoku/>
        <w:wordWrap/>
        <w:overflowPunct/>
        <w:topLinePunct w:val="0"/>
        <w:autoSpaceDE/>
        <w:autoSpaceDN/>
        <w:bidi w:val="0"/>
        <w:adjustRightInd/>
        <w:snapToGrid/>
        <w:spacing w:line="520" w:lineRule="exact"/>
        <w:ind w:firstLine="562" w:firstLineChars="200"/>
        <w:jc w:val="both"/>
        <w:textAlignment w:val="auto"/>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pP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结题要求</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：校级以上优秀</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教学案例入选</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，正式发表的</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论文</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专著</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教材</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综合研究报告</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教学质量成果</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（经校外专家鉴定或省级发文）</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等</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中</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至少</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3</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类及以上成果类型，内涵必须与项目主题高度相关，且成果只认可项目组的核心成员（项目</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组</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前</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5</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名）。</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20" w:lineRule="exact"/>
        <w:ind w:right="0" w:firstLine="562" w:firstLineChars="200"/>
        <w:jc w:val="both"/>
        <w:textAlignment w:val="auto"/>
        <w:outlineLvl w:val="2"/>
        <w:rPr>
          <w:rFonts w:hint="default"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pPr>
      <w:r>
        <w:rPr>
          <w:rFonts w:hint="default"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t>（二）课程思政示范课程</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20" w:lineRule="exact"/>
        <w:ind w:left="0" w:right="0" w:firstLine="630"/>
        <w:jc w:val="both"/>
        <w:textAlignment w:val="auto"/>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pP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贯彻落实教育部《高等学校课程思政建设指导纲要》（教高〔2020〕3号）、省教育厅《关于全面推进高等学校课程思政建设的实施意见》（闽教高〔2021〕46号）文件精神，坚持立德树人根本任务，挖掘蕴含在专业知识中的德育元素，围绕政治认同、家国情怀、文化素养、科学家精神、宪法精神、法治意识、道德修养等为重点优化课程思政内容供给，结合中国特色社会主义的伟大实践，系统开展课程思政教育。课程教学设计科学合理，契合不同专业人才培养特点和专业能力素质要求</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富有学科特色，彰显专业优势，有机融入课程教学。</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实验</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实践教育类课程要注重学思结合，知行统一，增强学生创新精神、创造意识、创业能力以及弘扬劳动精神，引导学生培养工匠精神。</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20" w:lineRule="exact"/>
        <w:ind w:left="0" w:right="0" w:firstLine="630"/>
        <w:jc w:val="both"/>
        <w:textAlignment w:val="auto"/>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pP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结题要求：</w:t>
      </w:r>
      <w:r>
        <w:rPr>
          <w:rFonts w:hint="eastAsia" w:ascii="Times New Roman" w:hAnsi="Times New Roman" w:eastAsia="仿宋_GB2312" w:cs="Times New Roman"/>
          <w:b w:val="0"/>
          <w:bCs w:val="0"/>
          <w:caps w:val="0"/>
          <w:color w:val="000000" w:themeColor="text1"/>
          <w:spacing w:val="0"/>
          <w:kern w:val="0"/>
          <w:sz w:val="28"/>
          <w:szCs w:val="28"/>
          <w:lang w:val="en-US" w:eastAsia="zh-CN" w:bidi="ar"/>
          <w14:textFill>
            <w14:solidFill>
              <w14:schemeClr w14:val="tx1"/>
            </w14:solidFill>
          </w14:textFill>
        </w:rPr>
        <w:t>有机融入思政元素的</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课程教学大纲</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2</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节课以上的教学设计，1个校级优秀课程思政</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教学案例</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，至少</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开展一次</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校级</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课程思政</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相关研讨/讲座</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报告</w:t>
      </w:r>
      <w:r>
        <w:rPr>
          <w:rFonts w:hint="default" w:ascii="Times New Roman" w:hAnsi="Times New Roman" w:eastAsia="仿宋" w:cs="Times New Roman"/>
          <w:color w:val="000000" w:themeColor="text1"/>
          <w:kern w:val="0"/>
          <w:sz w:val="28"/>
          <w:szCs w:val="28"/>
          <w:lang w:val="en-US" w:eastAsia="zh-CN" w:bidi="ar"/>
          <w14:textFill>
            <w14:solidFill>
              <w14:schemeClr w14:val="tx1"/>
            </w14:solidFill>
          </w14:textFill>
        </w:rPr>
        <w:t>或者</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“示范/公开课”</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，向学校课程思政资源平台提交至少两节优质课教学视频，指导学生获得与课程相关的省级及以上成果，同行及学生评教优秀。</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20" w:lineRule="exact"/>
        <w:ind w:left="0" w:right="0" w:firstLine="582"/>
        <w:jc w:val="both"/>
        <w:textAlignment w:val="auto"/>
        <w:outlineLvl w:val="2"/>
        <w:rPr>
          <w:rFonts w:hint="default"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pPr>
      <w:r>
        <w:rPr>
          <w:rFonts w:hint="eastAsia"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t>（三）一流</w:t>
      </w:r>
      <w:r>
        <w:rPr>
          <w:rFonts w:hint="default"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t>课程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重点支持建设优质线上、线上线下混合式、虚拟仿真、社会实践课程。鼓励基于OBE理念的课程改革，构建产出导向的学习目标，系统研发达成学习成果的课内外教学体系，重构课程内容体系、改革课堂教学方法、评估教学效果，整个学习过程中的每个环节都服务于培养目标的达成。线上线下混合式课程需符合《武夷学院混合式教学管理办法》（武院综〔2021〕13号）相关规定。线上课程要不断完善教学视频、教学资料、PPT课件、参考资料、作业、测验、考试、讨论等各类教学资源并确保知识产权清晰。虚拟仿真实验项目坚持能实不虚的原则，着力解决真实实验条件不具备或实际运行困难，涉及高危或极端环境，高成本、高消耗、不可逆操作、大型综合训练等问题，至少满足2个课时的实验教学需求，学生实际参与的交互性实验操作步骤不少于10步。社会实践课程以培养学生综合能力为目标，通过“青年红色筑梦之旅”、“互联网＋”大学生创新创业大赛、创新创业和思想政治理论课社会实践等活动，推动思想政治教育、专业教育与社会服务紧密结合，五育并举，课程应为纳入人才培养方案的非实习、实训课程，配备理论指导教师，具有稳定的实践基地，学生70%以上学时深入基层。</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仿宋_GB2312" w:hAnsi="仿宋_GB2312" w:eastAsia="仿宋_GB2312" w:cs="仿宋_GB2312"/>
          <w:sz w:val="28"/>
          <w:szCs w:val="28"/>
          <w:lang w:val="en-US" w:eastAsia="zh-CN"/>
        </w:rPr>
      </w:pP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结题要求</w:t>
      </w:r>
      <w:r>
        <w:rPr>
          <w:rFonts w:hint="eastAsia" w:ascii="Times New Roman" w:hAnsi="Times New Roman" w:eastAsia="仿宋_GB2312" w:cs="Times New Roman"/>
          <w:b w:val="0"/>
          <w:bCs w:val="0"/>
          <w:caps w:val="0"/>
          <w:color w:val="000000" w:themeColor="text1"/>
          <w:spacing w:val="0"/>
          <w:kern w:val="0"/>
          <w:sz w:val="28"/>
          <w:szCs w:val="28"/>
          <w:lang w:val="en-US" w:eastAsia="zh-CN" w:bidi="ar"/>
          <w14:textFill>
            <w14:solidFill>
              <w14:schemeClr w14:val="tx1"/>
            </w14:solidFill>
          </w14:textFill>
        </w:rPr>
        <w:t>：</w:t>
      </w:r>
      <w:r>
        <w:rPr>
          <w:rFonts w:hint="eastAsia" w:ascii="仿宋_GB2312" w:hAnsi="仿宋_GB2312" w:eastAsia="仿宋_GB2312" w:cs="仿宋_GB2312"/>
          <w:sz w:val="28"/>
          <w:szCs w:val="28"/>
          <w:lang w:val="en-US" w:eastAsia="zh-CN"/>
        </w:rPr>
        <w:t>线上线下混合式课程结题需通过教务处组织的两轮认定。线上课程需提交课程资源网址、学生线上学习报告、视频、试题库、讨论题库等资源。虚拟仿真实验教学项目需提供项目建设方案、运行顺畅的虚拟仿真实验项目系统及学生虚拟仿真学习数据。实践教学课程需提供实施方案、实施成效报告、不少于45分钟的现场教学视频、指导学生获得与课程相关的省级及以上实践创新成果。</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（四）课程知识图谱</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20" w:lineRule="exact"/>
        <w:ind w:left="0" w:right="0" w:firstLine="582"/>
        <w:jc w:val="both"/>
        <w:textAlignment w:val="auto"/>
        <w:outlineLvl w:val="2"/>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从专业整体角度出发</w:t>
      </w:r>
      <w:r>
        <w:rPr>
          <w:rFonts w:hint="eastAsia" w:ascii="仿宋_GB2312" w:hAnsi="仿宋_GB2312" w:eastAsia="仿宋_GB2312" w:cs="仿宋_GB2312"/>
          <w:sz w:val="28"/>
          <w:szCs w:val="28"/>
          <w:lang w:val="en-US" w:eastAsia="zh-CN"/>
        </w:rPr>
        <w:t>，</w:t>
      </w:r>
      <w:r>
        <w:rPr>
          <w:rFonts w:hint="default" w:ascii="仿宋_GB2312" w:hAnsi="仿宋_GB2312" w:eastAsia="仿宋_GB2312" w:cs="仿宋_GB2312"/>
          <w:sz w:val="28"/>
          <w:szCs w:val="28"/>
          <w:lang w:val="en-US" w:eastAsia="zh-CN"/>
        </w:rPr>
        <w:t>对课程知识</w:t>
      </w:r>
      <w:r>
        <w:rPr>
          <w:rFonts w:hint="eastAsia" w:ascii="仿宋_GB2312" w:hAnsi="仿宋_GB2312" w:eastAsia="仿宋_GB2312" w:cs="仿宋_GB2312"/>
          <w:sz w:val="28"/>
          <w:szCs w:val="28"/>
          <w:lang w:val="en-US" w:eastAsia="zh-CN"/>
        </w:rPr>
        <w:t>、问题、能力</w:t>
      </w:r>
      <w:r>
        <w:rPr>
          <w:rFonts w:hint="default" w:ascii="仿宋_GB2312" w:hAnsi="仿宋_GB2312" w:eastAsia="仿宋_GB2312" w:cs="仿宋_GB2312"/>
          <w:sz w:val="28"/>
          <w:szCs w:val="28"/>
          <w:lang w:val="en-US" w:eastAsia="zh-CN"/>
        </w:rPr>
        <w:t>进行全面梳理和系统整合，对现有资源进行分类标识，可视化地显示知识点的重要程度、知识点之间的</w:t>
      </w:r>
      <w:r>
        <w:rPr>
          <w:rFonts w:hint="eastAsia" w:ascii="仿宋_GB2312" w:hAnsi="仿宋_GB2312" w:eastAsia="仿宋_GB2312" w:cs="仿宋_GB2312"/>
          <w:sz w:val="28"/>
          <w:szCs w:val="28"/>
          <w:lang w:val="en-US" w:eastAsia="zh-CN"/>
        </w:rPr>
        <w:t>有机</w:t>
      </w:r>
      <w:r>
        <w:rPr>
          <w:rFonts w:hint="default" w:ascii="仿宋_GB2312" w:hAnsi="仿宋_GB2312" w:eastAsia="仿宋_GB2312" w:cs="仿宋_GB2312"/>
          <w:sz w:val="28"/>
          <w:szCs w:val="28"/>
          <w:lang w:val="en-US" w:eastAsia="zh-CN"/>
        </w:rPr>
        <w:t>联系、知识点的所属领域等，以“地图”形式直观地呈现整个学科的知识结构和分布，为所属专业建设与教学创新提供核心支撑</w:t>
      </w:r>
      <w:r>
        <w:rPr>
          <w:rFonts w:hint="eastAsia" w:ascii="仿宋_GB2312" w:hAnsi="仿宋_GB2312" w:eastAsia="仿宋_GB2312" w:cs="仿宋_GB2312"/>
          <w:sz w:val="28"/>
          <w:szCs w:val="28"/>
          <w:lang w:val="en-US" w:eastAsia="zh-CN"/>
        </w:rPr>
        <w:t>，为</w:t>
      </w:r>
      <w:r>
        <w:rPr>
          <w:rFonts w:hint="default" w:ascii="仿宋_GB2312" w:hAnsi="仿宋_GB2312" w:eastAsia="仿宋_GB2312" w:cs="仿宋_GB2312"/>
          <w:sz w:val="28"/>
          <w:szCs w:val="28"/>
          <w:lang w:val="en-US" w:eastAsia="zh-CN"/>
        </w:rPr>
        <w:t>师生提供海量优质资源和精准的资源服务。</w:t>
      </w:r>
      <w:r>
        <w:rPr>
          <w:rFonts w:hint="eastAsia" w:ascii="仿宋_GB2312" w:hAnsi="仿宋_GB2312" w:eastAsia="仿宋_GB2312" w:cs="仿宋_GB2312"/>
          <w:sz w:val="28"/>
          <w:szCs w:val="28"/>
          <w:lang w:val="en-US" w:eastAsia="zh-CN"/>
        </w:rPr>
        <w:t>知识图谱建设内容包括：</w:t>
      </w:r>
      <w:r>
        <w:rPr>
          <w:rFonts w:hint="default" w:ascii="仿宋_GB2312" w:hAnsi="仿宋_GB2312" w:eastAsia="仿宋_GB2312" w:cs="仿宋_GB2312"/>
          <w:sz w:val="28"/>
          <w:szCs w:val="28"/>
          <w:lang w:val="en-US" w:eastAsia="zh-CN"/>
        </w:rPr>
        <w:t>课程四维知识图谱构建</w:t>
      </w:r>
      <w:r>
        <w:rPr>
          <w:rFonts w:hint="eastAsia" w:ascii="仿宋_GB2312" w:hAnsi="仿宋_GB2312" w:eastAsia="仿宋_GB2312" w:cs="仿宋_GB2312"/>
          <w:sz w:val="28"/>
          <w:szCs w:val="28"/>
          <w:lang w:val="en-US" w:eastAsia="zh-CN"/>
        </w:rPr>
        <w:t>、</w:t>
      </w:r>
      <w:r>
        <w:rPr>
          <w:rFonts w:hint="default" w:ascii="仿宋_GB2312" w:hAnsi="仿宋_GB2312" w:eastAsia="仿宋_GB2312" w:cs="仿宋_GB2312"/>
          <w:sz w:val="28"/>
          <w:szCs w:val="28"/>
          <w:lang w:val="en-US" w:eastAsia="zh-CN"/>
        </w:rPr>
        <w:t>单个知识图谱创建</w:t>
      </w:r>
      <w:r>
        <w:rPr>
          <w:rFonts w:hint="eastAsia" w:ascii="仿宋_GB2312" w:hAnsi="仿宋_GB2312" w:eastAsia="仿宋_GB2312" w:cs="仿宋_GB2312"/>
          <w:sz w:val="28"/>
          <w:szCs w:val="28"/>
          <w:lang w:val="en-US" w:eastAsia="zh-CN"/>
        </w:rPr>
        <w:t>、</w:t>
      </w:r>
      <w:r>
        <w:rPr>
          <w:rFonts w:hint="default" w:ascii="仿宋_GB2312" w:hAnsi="仿宋_GB2312" w:eastAsia="仿宋_GB2312" w:cs="仿宋_GB2312"/>
          <w:sz w:val="28"/>
          <w:szCs w:val="28"/>
          <w:lang w:val="en-US" w:eastAsia="zh-CN"/>
        </w:rPr>
        <w:t>内容资源包管理</w:t>
      </w:r>
      <w:r>
        <w:rPr>
          <w:rFonts w:hint="eastAsia" w:ascii="仿宋_GB2312" w:hAnsi="仿宋_GB2312" w:eastAsia="仿宋_GB2312" w:cs="仿宋_GB2312"/>
          <w:sz w:val="28"/>
          <w:szCs w:val="28"/>
          <w:lang w:val="en-US" w:eastAsia="zh-CN"/>
        </w:rPr>
        <w:t>、</w:t>
      </w:r>
      <w:r>
        <w:rPr>
          <w:rFonts w:hint="default" w:ascii="仿宋_GB2312" w:hAnsi="仿宋_GB2312" w:eastAsia="仿宋_GB2312" w:cs="仿宋_GB2312"/>
          <w:sz w:val="28"/>
          <w:szCs w:val="28"/>
          <w:lang w:val="en-US" w:eastAsia="zh-CN"/>
        </w:rPr>
        <w:t>单个知识点管理</w:t>
      </w:r>
      <w:r>
        <w:rPr>
          <w:rFonts w:hint="eastAsia" w:ascii="仿宋_GB2312" w:hAnsi="仿宋_GB2312" w:eastAsia="仿宋_GB2312" w:cs="仿宋_GB2312"/>
          <w:sz w:val="28"/>
          <w:szCs w:val="28"/>
          <w:lang w:val="en-US" w:eastAsia="zh-CN"/>
        </w:rPr>
        <w:t>、</w:t>
      </w:r>
      <w:r>
        <w:rPr>
          <w:rFonts w:hint="default" w:ascii="仿宋_GB2312" w:hAnsi="仿宋_GB2312" w:eastAsia="仿宋_GB2312" w:cs="仿宋_GB2312"/>
          <w:sz w:val="28"/>
          <w:szCs w:val="28"/>
          <w:lang w:val="en-US" w:eastAsia="zh-CN"/>
        </w:rPr>
        <w:t>知识图谱展示</w:t>
      </w:r>
      <w:r>
        <w:rPr>
          <w:rFonts w:hint="eastAsia" w:ascii="仿宋_GB2312" w:hAnsi="仿宋_GB2312" w:eastAsia="仿宋_GB2312" w:cs="仿宋_GB2312"/>
          <w:sz w:val="28"/>
          <w:szCs w:val="28"/>
          <w:lang w:val="en-US" w:eastAsia="zh-CN"/>
        </w:rPr>
        <w:t>、</w:t>
      </w:r>
      <w:r>
        <w:rPr>
          <w:rFonts w:hint="default" w:ascii="仿宋_GB2312" w:hAnsi="仿宋_GB2312" w:eastAsia="仿宋_GB2312" w:cs="仿宋_GB2312"/>
          <w:sz w:val="28"/>
          <w:szCs w:val="28"/>
          <w:lang w:val="en-US" w:eastAsia="zh-CN"/>
        </w:rPr>
        <w:t>知识图谱构建AI课程基础应用运行</w:t>
      </w:r>
      <w:r>
        <w:rPr>
          <w:rFonts w:hint="eastAsia" w:ascii="仿宋_GB2312" w:hAnsi="仿宋_GB2312" w:eastAsia="仿宋_GB2312" w:cs="仿宋_GB2312"/>
          <w:sz w:val="28"/>
          <w:szCs w:val="28"/>
          <w:lang w:val="en-US" w:eastAsia="zh-CN"/>
        </w:rPr>
        <w:t>等。</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20" w:lineRule="exact"/>
        <w:ind w:left="0" w:right="0" w:firstLine="630"/>
        <w:jc w:val="both"/>
        <w:textAlignment w:val="auto"/>
        <w:rPr>
          <w:rFonts w:hint="default" w:ascii="Times New Roman" w:hAnsi="Times New Roman" w:eastAsia="仿宋_GB2312" w:cs="Times New Roman"/>
          <w:b w:val="0"/>
          <w:bCs w:val="0"/>
          <w:caps w:val="0"/>
          <w:color w:val="000000" w:themeColor="text1"/>
          <w:spacing w:val="0"/>
          <w:kern w:val="0"/>
          <w:sz w:val="28"/>
          <w:szCs w:val="28"/>
          <w:lang w:val="en-US" w:eastAsia="zh-CN" w:bidi="ar"/>
          <w14:textFill>
            <w14:solidFill>
              <w14:schemeClr w14:val="tx1"/>
            </w14:solidFill>
          </w14:textFill>
        </w:rPr>
      </w:pPr>
      <w:r>
        <w:rPr>
          <w:rFonts w:hint="eastAsia" w:ascii="仿宋_GB2312" w:hAnsi="仿宋_GB2312" w:eastAsia="仿宋_GB2312" w:cs="仿宋_GB2312"/>
          <w:b/>
          <w:bCs/>
          <w:sz w:val="28"/>
          <w:szCs w:val="28"/>
          <w:lang w:val="en-US" w:eastAsia="zh-CN"/>
        </w:rPr>
        <w:t>结题要求</w:t>
      </w: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w:t>
      </w:r>
      <w:r>
        <w:rPr>
          <w:rFonts w:hint="eastAsia" w:ascii="Times New Roman" w:hAnsi="Times New Roman" w:eastAsia="仿宋_GB2312" w:cs="Times New Roman"/>
          <w:b w:val="0"/>
          <w:bCs w:val="0"/>
          <w:caps w:val="0"/>
          <w:color w:val="000000" w:themeColor="text1"/>
          <w:spacing w:val="0"/>
          <w:kern w:val="0"/>
          <w:sz w:val="28"/>
          <w:szCs w:val="28"/>
          <w:lang w:val="en-US" w:eastAsia="zh-CN" w:bidi="ar"/>
          <w14:textFill>
            <w14:solidFill>
              <w14:schemeClr w14:val="tx1"/>
            </w14:solidFill>
          </w14:textFill>
        </w:rPr>
        <w:t>提供知识图谱建设相关材料、课程知识图谱及使用情况。</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520" w:lineRule="exact"/>
        <w:ind w:firstLine="562" w:firstLineChars="200"/>
        <w:jc w:val="both"/>
        <w:textAlignment w:val="auto"/>
        <w:outlineLvl w:val="1"/>
        <w:rPr>
          <w:rFonts w:hint="default"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pPr>
      <w:r>
        <w:rPr>
          <w:rFonts w:hint="default"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t>（</w:t>
      </w:r>
      <w:r>
        <w:rPr>
          <w:rFonts w:hint="eastAsia"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t>五</w:t>
      </w:r>
      <w:r>
        <w:rPr>
          <w:rFonts w:hint="default"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t>）新形态教材</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pP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适应社会经济发展的趋势，正确反映现代教育思想，体现改革精神，融合互联网新技术，结合课堂教学改革，创新教材形态。通过移动互联网技术，以嵌入二维码的纸质教材（含活页式教材）等为载体，添加视频、音频、作业、试卷、拓展资源、主题讨论等数字资源，将教材、课堂、教学资源三者融合，实现线上线下结合的教材出版新模式</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教材正式出版前应按照学校有关规定开展教材编写人员和教材内容的思想政治、意识形态等的审查。学院聘请专家审查通过后，报教务处备案。新编教材须提供不少于两个章节的样章（1份）；修订教材须提供已出版的样书（1份</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，扫描封面、版权页、目录</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520" w:lineRule="exact"/>
        <w:ind w:firstLine="562" w:firstLineChars="200"/>
        <w:jc w:val="both"/>
        <w:textAlignment w:val="auto"/>
        <w:outlineLvl w:val="1"/>
        <w:rPr>
          <w:rFonts w:hint="default"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pPr>
      <w:r>
        <w:rPr>
          <w:rFonts w:hint="eastAsia"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t>结题要求：</w:t>
      </w:r>
      <w:r>
        <w:rPr>
          <w:rFonts w:hint="eastAsia" w:ascii="Times New Roman" w:hAnsi="Times New Roman" w:eastAsia="仿宋_GB2312" w:cs="Times New Roman"/>
          <w:b w:val="0"/>
          <w:bCs w:val="0"/>
          <w:caps w:val="0"/>
          <w:color w:val="000000" w:themeColor="text1"/>
          <w:spacing w:val="0"/>
          <w:sz w:val="28"/>
          <w:szCs w:val="28"/>
          <w:lang w:val="en-US" w:eastAsia="zh-CN"/>
          <w14:textFill>
            <w14:solidFill>
              <w14:schemeClr w14:val="tx1"/>
            </w14:solidFill>
          </w14:textFill>
        </w:rPr>
        <w:t>提供正式出版的符合新形态教材标准的教材。</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楷体" w:hAnsi="楷体" w:eastAsia="楷体" w:cs="楷体"/>
          <w:b/>
          <w:bCs/>
          <w:sz w:val="28"/>
          <w:szCs w:val="28"/>
          <w:lang w:val="en-US" w:eastAsia="zh-CN"/>
        </w:rPr>
      </w:pPr>
      <w:r>
        <w:rPr>
          <w:rFonts w:hint="eastAsia" w:ascii="仿宋_GB2312" w:hAnsi="仿宋_GB2312" w:eastAsia="仿宋_GB2312" w:cs="仿宋_GB2312"/>
          <w:b/>
          <w:bCs/>
          <w:sz w:val="28"/>
          <w:szCs w:val="28"/>
          <w:lang w:val="en-US" w:eastAsia="zh-CN"/>
        </w:rPr>
        <w:t>（六）校企共建示范课程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夯实“四新”教育理念，主动契合行业对应用型人才培养实际需求，鼓励各学院广泛开展校企合作、产教融合，充分挖掘企业课程项目与师资资源，广泛开展专业课程共授共建，联合组织课程建设研讨，制定项目开发任务与教学设计，采用企业成熟实践案例，企业教师和学院教师联合授课及考核，协同项目指导，提升课程建设的应用性和高阶性，增强对企业运营机制的了解度，提升学生应用能力。要求课程形成稳定的校企双元团队（课程团队中需有1-2名行业企业人员）、明确的授课计划（企业人员承担一定的学时）、可持续的合作机制。</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20" w:lineRule="exact"/>
        <w:ind w:left="0" w:right="0" w:firstLine="630"/>
        <w:jc w:val="both"/>
        <w:textAlignment w:val="auto"/>
        <w:rPr>
          <w:rFonts w:hint="default"/>
          <w:lang w:val="en-US" w:eastAsia="zh-CN"/>
        </w:rPr>
      </w:pPr>
      <w:r>
        <w:rPr>
          <w:rFonts w:hint="eastAsia" w:ascii="仿宋_GB2312" w:hAnsi="仿宋_GB2312" w:eastAsia="仿宋_GB2312" w:cs="仿宋_GB2312"/>
          <w:b/>
          <w:bCs/>
          <w:sz w:val="28"/>
          <w:szCs w:val="28"/>
          <w:lang w:val="en-US" w:eastAsia="zh-CN"/>
        </w:rPr>
        <w:t>结题要求</w:t>
      </w: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w:t>
      </w:r>
      <w:r>
        <w:rPr>
          <w:rFonts w:hint="eastAsia" w:ascii="Times New Roman" w:hAnsi="Times New Roman" w:eastAsia="仿宋_GB2312" w:cs="Times New Roman"/>
          <w:b w:val="0"/>
          <w:bCs w:val="0"/>
          <w:caps w:val="0"/>
          <w:color w:val="000000" w:themeColor="text1"/>
          <w:spacing w:val="0"/>
          <w:kern w:val="0"/>
          <w:sz w:val="28"/>
          <w:szCs w:val="28"/>
          <w:lang w:val="en-US" w:eastAsia="zh-CN" w:bidi="ar"/>
          <w14:textFill>
            <w14:solidFill>
              <w14:schemeClr w14:val="tx1"/>
            </w14:solidFill>
          </w14:textFill>
        </w:rPr>
        <w:t>提交完整的课程教学材料，课程建设成效报告，共建企业真实案例库，校企共同开发的教学资源，至少2学时产教融合课堂教学视频（具体要求参见福建省产教融合赛道教学创新大赛通知），联合指导学生获得课程相关的省级及以上学习成果，同行及学生评教优秀。</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（七）“</w:t>
      </w:r>
      <w:r>
        <w:rPr>
          <w:rFonts w:ascii="仿宋" w:hAnsi="仿宋" w:eastAsia="仿宋" w:cs="仿宋"/>
          <w:b/>
          <w:bCs/>
          <w:color w:val="000000"/>
          <w:kern w:val="0"/>
          <w:sz w:val="28"/>
          <w:szCs w:val="28"/>
          <w:lang w:val="en-US" w:eastAsia="zh-CN" w:bidi="ar"/>
        </w:rPr>
        <w:t>三创</w:t>
      </w:r>
      <w:r>
        <w:rPr>
          <w:rFonts w:hint="eastAsia" w:ascii="仿宋" w:hAnsi="仿宋" w:eastAsia="仿宋" w:cs="仿宋"/>
          <w:b/>
          <w:bCs/>
          <w:color w:val="000000"/>
          <w:kern w:val="0"/>
          <w:sz w:val="28"/>
          <w:szCs w:val="28"/>
          <w:lang w:val="en-US" w:eastAsia="zh-CN" w:bidi="ar"/>
        </w:rPr>
        <w:t>”教育</w:t>
      </w:r>
      <w:r>
        <w:rPr>
          <w:rFonts w:ascii="仿宋" w:hAnsi="仿宋" w:eastAsia="仿宋" w:cs="仿宋"/>
          <w:b/>
          <w:bCs/>
          <w:color w:val="000000"/>
          <w:kern w:val="0"/>
          <w:sz w:val="28"/>
          <w:szCs w:val="28"/>
          <w:lang w:val="en-US" w:eastAsia="zh-CN" w:bidi="ar"/>
        </w:rPr>
        <w:t xml:space="preserve">示范课程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深化创新创业创造教育改革，将三创教育内涵融入人才培养全过程，强化学生的创新创业能力培养，打造融课程教学、实践训练、培育孵化为一体的三创教育体系，整合现有和规划的教学、科研、实践空间，完善和丰富三创教育服务体系，驱动思创、专创、科创、技创、产创的五维深度融合，推动形成一批基础好、专创融合度高、特色强、质量高、团队优、教学改革成效显著的“三创”示范课程。 </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结题要求：</w:t>
      </w:r>
      <w:r>
        <w:rPr>
          <w:rFonts w:hint="eastAsia" w:ascii="仿宋_GB2312" w:hAnsi="仿宋_GB2312" w:eastAsia="仿宋_GB2312" w:cs="仿宋_GB2312"/>
          <w:sz w:val="28"/>
          <w:szCs w:val="28"/>
          <w:lang w:val="en-US" w:eastAsia="zh-CN"/>
        </w:rPr>
        <w:t xml:space="preserve">融入三创教育理念和 </w:t>
      </w:r>
      <w:r>
        <w:rPr>
          <w:rFonts w:hint="default" w:ascii="仿宋_GB2312" w:hAnsi="仿宋_GB2312" w:eastAsia="仿宋_GB2312" w:cs="仿宋_GB2312"/>
          <w:sz w:val="28"/>
          <w:szCs w:val="28"/>
          <w:lang w:val="en-US" w:eastAsia="zh-CN"/>
        </w:rPr>
        <w:t xml:space="preserve">OBE </w:t>
      </w:r>
      <w:r>
        <w:rPr>
          <w:rFonts w:hint="eastAsia" w:ascii="仿宋_GB2312" w:hAnsi="仿宋_GB2312" w:eastAsia="仿宋_GB2312" w:cs="仿宋_GB2312"/>
          <w:sz w:val="28"/>
          <w:szCs w:val="28"/>
          <w:lang w:val="en-US" w:eastAsia="zh-CN"/>
        </w:rPr>
        <w:t>理念的课程教学大纲，至少</w:t>
      </w:r>
      <w:r>
        <w:rPr>
          <w:rFonts w:hint="default"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val="en-US" w:eastAsia="zh-CN"/>
        </w:rPr>
        <w:t>节课的代表性三创教育教学设计，2个以上创新创业教育案例，至少开展一次校级三创教育相关研讨</w:t>
      </w:r>
      <w:r>
        <w:rPr>
          <w:rFonts w:hint="default"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val="en-US" w:eastAsia="zh-CN"/>
        </w:rPr>
        <w:t>讲座报告或者</w:t>
      </w:r>
      <w:r>
        <w:rPr>
          <w:rFonts w:hint="default"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val="en-US" w:eastAsia="zh-CN"/>
        </w:rPr>
        <w:t>示范</w:t>
      </w:r>
      <w:r>
        <w:rPr>
          <w:rFonts w:hint="default"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val="en-US" w:eastAsia="zh-CN"/>
        </w:rPr>
        <w:t>公开课</w:t>
      </w:r>
      <w:r>
        <w:rPr>
          <w:rFonts w:hint="default"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val="en-US" w:eastAsia="zh-CN"/>
        </w:rPr>
        <w:t>，提供1－2学时与主题高度相关的教学视频，指导学生获得项目相关省级及以上创新创业成果。</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520" w:lineRule="exact"/>
        <w:ind w:firstLine="562" w:firstLineChars="200"/>
        <w:jc w:val="both"/>
        <w:textAlignment w:val="auto"/>
        <w:outlineLvl w:val="1"/>
        <w:rPr>
          <w:rFonts w:hint="default"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pPr>
      <w:r>
        <w:rPr>
          <w:rFonts w:hint="default"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t>（</w:t>
      </w:r>
      <w:r>
        <w:rPr>
          <w:rFonts w:hint="eastAsia"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t>八</w:t>
      </w:r>
      <w:r>
        <w:rPr>
          <w:rFonts w:hint="default"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t>）</w:t>
      </w:r>
      <w:r>
        <w:rPr>
          <w:rFonts w:hint="eastAsia"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t>产教融合实践</w:t>
      </w:r>
      <w:r>
        <w:rPr>
          <w:rFonts w:hint="default" w:ascii="Times New Roman" w:hAnsi="Times New Roman" w:eastAsia="仿宋_GB2312" w:cs="Times New Roman"/>
          <w:b/>
          <w:bCs/>
          <w:caps w:val="0"/>
          <w:color w:val="000000" w:themeColor="text1"/>
          <w:spacing w:val="0"/>
          <w:sz w:val="28"/>
          <w:szCs w:val="28"/>
          <w:lang w:val="en-US" w:eastAsia="zh-CN"/>
          <w14:textFill>
            <w14:solidFill>
              <w14:schemeClr w14:val="tx1"/>
            </w14:solidFill>
          </w14:textFill>
        </w:rPr>
        <w:t>基地</w:t>
      </w:r>
    </w:p>
    <w:p>
      <w:pPr>
        <w:keepNext w:val="0"/>
        <w:keepLines w:val="0"/>
        <w:pageBreakBefore w:val="0"/>
        <w:kinsoku/>
        <w:wordWrap/>
        <w:overflowPunct/>
        <w:topLinePunct w:val="0"/>
        <w:autoSpaceDE/>
        <w:autoSpaceDN/>
        <w:bidi w:val="0"/>
        <w:adjustRightInd/>
        <w:snapToGrid/>
        <w:spacing w:line="520" w:lineRule="exact"/>
        <w:ind w:firstLine="560" w:firstLineChars="200"/>
        <w:jc w:val="both"/>
        <w:textAlignment w:val="auto"/>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pP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积极拓展校外实践教学资源，选择与专业对口、设施完备、技术先进、管理规范的单位，打造一批集产、学、研、转、创或体、美、劳育浸润等多功能为一体的产教融合重点基地，探索科技研发、实践教学、生产实习、创新创业、技能竞赛、培训服务、毕业论文撰写一体化基地运行模式，有效培养学生专业能力、创新精神和就业能力</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20" w:lineRule="exact"/>
        <w:ind w:firstLine="562" w:firstLineChars="200"/>
        <w:jc w:val="both"/>
        <w:textAlignment w:val="auto"/>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pP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结题要求：</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提供学生在基地实践情况数据（每年不少于20人）和总结，校级以上产学研项目或成果，1－2个实践教学典型案例（附现场图片），不少于45分钟的基地教学视频，</w:t>
      </w:r>
      <w:r>
        <w:rPr>
          <w:rFonts w:hint="eastAsia" w:ascii="Times New Roman" w:hAnsi="Times New Roman" w:eastAsia="仿宋_GB2312" w:cs="Times New Roman"/>
          <w:b w:val="0"/>
          <w:bCs w:val="0"/>
          <w:caps w:val="0"/>
          <w:color w:val="000000" w:themeColor="text1"/>
          <w:spacing w:val="0"/>
          <w:kern w:val="0"/>
          <w:sz w:val="28"/>
          <w:szCs w:val="28"/>
          <w:lang w:val="en-US" w:eastAsia="zh-CN" w:bidi="ar"/>
          <w14:textFill>
            <w14:solidFill>
              <w14:schemeClr w14:val="tx1"/>
            </w14:solidFill>
          </w14:textFill>
        </w:rPr>
        <w:t>联合指导学生获得与项目相关省级及以上产学研成果。</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20" w:lineRule="exact"/>
        <w:ind w:left="0" w:right="0" w:firstLine="630"/>
        <w:jc w:val="both"/>
        <w:textAlignment w:val="auto"/>
        <w:rPr>
          <w:rFonts w:hint="default"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pP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以上项目若建设期间入选省级及以上同类项目则校级可直接结题</w:t>
      </w:r>
      <w:r>
        <w:rPr>
          <w:rFonts w:hint="default"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0" w:right="0" w:firstLine="562"/>
        <w:jc w:val="both"/>
        <w:textAlignment w:val="auto"/>
        <w:outlineLvl w:val="0"/>
        <w:rPr>
          <w:rFonts w:hint="default" w:ascii="Times New Roman" w:hAnsi="Times New Roman" w:cs="Times New Roman"/>
          <w:color w:val="000000" w:themeColor="text1"/>
          <w14:textFill>
            <w14:solidFill>
              <w14:schemeClr w14:val="tx1"/>
            </w14:solidFill>
          </w14:textFill>
        </w:rPr>
      </w:pPr>
      <w:r>
        <w:rPr>
          <w:rFonts w:hint="eastAsia" w:ascii="Times New Roman" w:hAnsi="Times New Roman" w:eastAsia="仿宋_GB2312" w:cs="Times New Roman"/>
          <w:b/>
          <w:bCs/>
          <w:color w:val="000000" w:themeColor="text1"/>
          <w:spacing w:val="0"/>
          <w:kern w:val="0"/>
          <w:sz w:val="28"/>
          <w:szCs w:val="28"/>
          <w:lang w:val="en-US" w:eastAsia="zh-CN" w:bidi="ar"/>
          <w14:textFill>
            <w14:solidFill>
              <w14:schemeClr w14:val="tx1"/>
            </w14:solidFill>
          </w14:textFill>
        </w:rPr>
        <w:t>二</w:t>
      </w:r>
      <w:r>
        <w:rPr>
          <w:rFonts w:hint="default"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、申报要求</w:t>
      </w:r>
    </w:p>
    <w:p>
      <w:pPr>
        <w:pStyle w:val="4"/>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1.项目负责人原则上应为我校全职在岗人员。省级一流专业及成果较少的专业要积极规划布局各类项目申报。</w:t>
      </w:r>
    </w:p>
    <w:p>
      <w:pPr>
        <w:pStyle w:val="4"/>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2.有教研教改项目到期未结题不得申报本次项目（不含经批准的申请延期期间），申报者应自行做好核实。</w:t>
      </w:r>
    </w:p>
    <w:p>
      <w:pPr>
        <w:pStyle w:val="4"/>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3.每个项目限1名负责人，每人同期只能申报1个项目，集体项目参与人（不含项目负责人）不得少于2人。</w:t>
      </w:r>
    </w:p>
    <w:p>
      <w:pPr>
        <w:pStyle w:val="4"/>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4.项目负责人主持在研的校级各类教研教改项目不得超过2项（综合教育教学改革、产教融合实践基地可不受此限制）。</w:t>
      </w:r>
    </w:p>
    <w:p>
      <w:pPr>
        <w:pStyle w:val="4"/>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申报过程中应避免出现以下问题：项目名称过于简略，不能反映建设主题内容。填写敷衍不认真，申报书封面内容和正文内容不一致，各部分文不对题，结构层次不清晰，语言表述不精炼，简单抄袭过往申报内容或已立项项目简单改变形式重复申报，出现与主题不相关的课程或事项名称。申报书不注重格式规范，排版混乱随意。各项内容华而不实，思路不明晰，措施不明确，无工作路线，研究成效难以达到预期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560" w:lineRule="atLeast"/>
        <w:ind w:left="0" w:right="0" w:firstLine="562"/>
        <w:jc w:val="both"/>
        <w:outlineLvl w:val="0"/>
        <w:rPr>
          <w:rFonts w:hint="default" w:ascii="Times New Roman" w:hAnsi="Times New Roman" w:eastAsia="仿宋" w:cs="Times New Roman"/>
          <w:b/>
          <w:bCs/>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三</w:t>
      </w:r>
      <w:r>
        <w:rPr>
          <w:rFonts w:hint="default"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w:t>
      </w:r>
      <w:r>
        <w:rPr>
          <w:rFonts w:hint="default" w:ascii="Times New Roman" w:hAnsi="Times New Roman" w:eastAsia="仿宋" w:cs="Times New Roman"/>
          <w:b/>
          <w:bCs/>
          <w:color w:val="000000" w:themeColor="text1"/>
          <w:sz w:val="28"/>
          <w:szCs w:val="28"/>
          <w:lang w:val="en-US" w:eastAsia="zh-CN"/>
          <w14:textFill>
            <w14:solidFill>
              <w14:schemeClr w14:val="tx1"/>
            </w14:solidFill>
          </w14:textFill>
        </w:rPr>
        <w:t>立项</w:t>
      </w:r>
      <w:r>
        <w:rPr>
          <w:rFonts w:hint="eastAsia" w:ascii="Times New Roman" w:hAnsi="Times New Roman" w:eastAsia="仿宋" w:cs="Times New Roman"/>
          <w:b/>
          <w:bCs/>
          <w:color w:val="000000" w:themeColor="text1"/>
          <w:sz w:val="28"/>
          <w:szCs w:val="28"/>
          <w:lang w:val="en-US" w:eastAsia="zh-CN"/>
          <w14:textFill>
            <w14:solidFill>
              <w14:schemeClr w14:val="tx1"/>
            </w14:solidFill>
          </w14:textFill>
        </w:rPr>
        <w:t>数、</w:t>
      </w:r>
      <w:r>
        <w:rPr>
          <w:rFonts w:hint="default" w:ascii="Times New Roman" w:hAnsi="Times New Roman" w:eastAsia="仿宋" w:cs="Times New Roman"/>
          <w:b/>
          <w:bCs/>
          <w:color w:val="000000" w:themeColor="text1"/>
          <w:sz w:val="28"/>
          <w:szCs w:val="28"/>
          <w:lang w:val="en-US" w:eastAsia="zh-CN"/>
          <w14:textFill>
            <w14:solidFill>
              <w14:schemeClr w14:val="tx1"/>
            </w14:solidFill>
          </w14:textFill>
        </w:rPr>
        <w:t>经费资助</w:t>
      </w:r>
      <w:r>
        <w:rPr>
          <w:rFonts w:hint="eastAsia" w:ascii="Times New Roman" w:hAnsi="Times New Roman" w:eastAsia="仿宋" w:cs="Times New Roman"/>
          <w:b/>
          <w:bCs/>
          <w:color w:val="000000" w:themeColor="text1"/>
          <w:sz w:val="28"/>
          <w:szCs w:val="28"/>
          <w:lang w:val="en-US" w:eastAsia="zh-CN"/>
          <w14:textFill>
            <w14:solidFill>
              <w14:schemeClr w14:val="tx1"/>
            </w14:solidFill>
          </w14:textFill>
        </w:rPr>
        <w:t>、建设年限</w:t>
      </w:r>
    </w:p>
    <w:tbl>
      <w:tblPr>
        <w:tblStyle w:val="9"/>
        <w:tblW w:w="899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Layout w:type="autofit"/>
        <w:tblCellMar>
          <w:top w:w="0" w:type="dxa"/>
          <w:left w:w="0" w:type="dxa"/>
          <w:bottom w:w="0" w:type="dxa"/>
          <w:right w:w="0" w:type="dxa"/>
        </w:tblCellMar>
      </w:tblPr>
      <w:tblGrid>
        <w:gridCol w:w="1485"/>
        <w:gridCol w:w="2700"/>
        <w:gridCol w:w="1097"/>
        <w:gridCol w:w="1086"/>
        <w:gridCol w:w="1598"/>
        <w:gridCol w:w="102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638" w:hRule="atLeast"/>
          <w:jc w:val="center"/>
        </w:trPr>
        <w:tc>
          <w:tcPr>
            <w:tcW w:w="4185" w:type="dxa"/>
            <w:gridSpan w:val="2"/>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仿宋" w:cs="Times New Roman"/>
                <w:b/>
                <w:bCs/>
                <w:color w:val="000000" w:themeColor="text1"/>
                <w:kern w:val="0"/>
                <w:sz w:val="24"/>
                <w:szCs w:val="24"/>
                <w:lang w:eastAsia="zh-CN"/>
                <w14:textFill>
                  <w14:solidFill>
                    <w14:schemeClr w14:val="tx1"/>
                  </w14:solidFill>
                </w14:textFill>
              </w:rPr>
            </w:pPr>
            <w:r>
              <w:rPr>
                <w:rFonts w:hint="default" w:ascii="Times New Roman" w:hAnsi="Times New Roman" w:eastAsia="仿宋" w:cs="Times New Roman"/>
                <w:b/>
                <w:bCs/>
                <w:color w:val="000000" w:themeColor="text1"/>
                <w:kern w:val="0"/>
                <w:sz w:val="24"/>
                <w:szCs w:val="24"/>
                <w14:textFill>
                  <w14:solidFill>
                    <w14:schemeClr w14:val="tx1"/>
                  </w14:solidFill>
                </w14:textFill>
              </w:rPr>
              <w:t>项目</w:t>
            </w:r>
            <w:r>
              <w:rPr>
                <w:rFonts w:hint="default" w:ascii="Times New Roman" w:hAnsi="Times New Roman" w:eastAsia="仿宋" w:cs="Times New Roman"/>
                <w:b/>
                <w:bCs/>
                <w:color w:val="000000" w:themeColor="text1"/>
                <w:kern w:val="0"/>
                <w:sz w:val="24"/>
                <w:szCs w:val="24"/>
                <w:lang w:val="en-US" w:eastAsia="zh-CN"/>
                <w14:textFill>
                  <w14:solidFill>
                    <w14:schemeClr w14:val="tx1"/>
                  </w14:solidFill>
                </w14:textFill>
              </w:rPr>
              <w:t>类</w:t>
            </w:r>
            <w:r>
              <w:rPr>
                <w:rFonts w:hint="eastAsia" w:ascii="Times New Roman" w:hAnsi="Times New Roman" w:eastAsia="仿宋" w:cs="Times New Roman"/>
                <w:b/>
                <w:bCs/>
                <w:color w:val="000000" w:themeColor="text1"/>
                <w:kern w:val="0"/>
                <w:sz w:val="24"/>
                <w:szCs w:val="24"/>
                <w:lang w:val="en-US" w:eastAsia="zh-CN"/>
                <w14:textFill>
                  <w14:solidFill>
                    <w14:schemeClr w14:val="tx1"/>
                  </w14:solidFill>
                </w14:textFill>
              </w:rPr>
              <w:t>别</w:t>
            </w:r>
          </w:p>
        </w:tc>
        <w:tc>
          <w:tcPr>
            <w:tcW w:w="1097"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仿宋" w:cs="Times New Roman"/>
                <w:b/>
                <w:bCs/>
                <w:color w:val="000000" w:themeColor="text1"/>
                <w:kern w:val="0"/>
                <w:sz w:val="24"/>
                <w:szCs w:val="24"/>
                <w:lang w:val="en-US" w:eastAsia="zh-CN"/>
                <w14:textFill>
                  <w14:solidFill>
                    <w14:schemeClr w14:val="tx1"/>
                  </w14:solidFill>
                </w14:textFill>
              </w:rPr>
            </w:pPr>
            <w:r>
              <w:rPr>
                <w:rFonts w:hint="default" w:ascii="Times New Roman" w:hAnsi="Times New Roman" w:eastAsia="仿宋" w:cs="Times New Roman"/>
                <w:b/>
                <w:bCs/>
                <w:color w:val="000000" w:themeColor="text1"/>
                <w:kern w:val="0"/>
                <w:sz w:val="24"/>
                <w:szCs w:val="24"/>
                <w:lang w:val="en-US" w:eastAsia="zh-CN"/>
                <w14:textFill>
                  <w14:solidFill>
                    <w14:schemeClr w14:val="tx1"/>
                  </w14:solidFill>
                </w14:textFill>
              </w:rPr>
              <w:t>预计立项</w:t>
            </w:r>
          </w:p>
          <w:p>
            <w:pPr>
              <w:pStyle w:val="7"/>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仿宋" w:cs="Times New Roman"/>
                <w:b/>
                <w:bCs/>
                <w:color w:val="000000" w:themeColor="text1"/>
                <w:kern w:val="0"/>
                <w:sz w:val="24"/>
                <w:szCs w:val="24"/>
                <w:lang w:val="en-US" w:eastAsia="zh-CN"/>
                <w14:textFill>
                  <w14:solidFill>
                    <w14:schemeClr w14:val="tx1"/>
                  </w14:solidFill>
                </w14:textFill>
              </w:rPr>
            </w:pPr>
            <w:r>
              <w:rPr>
                <w:rFonts w:hint="default" w:ascii="Times New Roman" w:hAnsi="Times New Roman" w:eastAsia="仿宋" w:cs="Times New Roman"/>
                <w:b/>
                <w:bCs/>
                <w:color w:val="000000" w:themeColor="text1"/>
                <w:kern w:val="0"/>
                <w:sz w:val="24"/>
                <w:szCs w:val="24"/>
                <w:lang w:eastAsia="zh-CN"/>
                <w14:textFill>
                  <w14:solidFill>
                    <w14:schemeClr w14:val="tx1"/>
                  </w14:solidFill>
                </w14:textFill>
              </w:rPr>
              <w:t>数</w:t>
            </w:r>
            <w:r>
              <w:rPr>
                <w:rFonts w:hint="eastAsia" w:ascii="Times New Roman" w:hAnsi="Times New Roman" w:eastAsia="仿宋" w:cs="Times New Roman"/>
                <w:b/>
                <w:bCs/>
                <w:color w:val="000000" w:themeColor="text1"/>
                <w:kern w:val="0"/>
                <w:sz w:val="24"/>
                <w:szCs w:val="24"/>
                <w:lang w:eastAsia="zh-CN"/>
                <w14:textFill>
                  <w14:solidFill>
                    <w14:schemeClr w14:val="tx1"/>
                  </w14:solidFill>
                </w14:textFill>
              </w:rPr>
              <w:t>（</w:t>
            </w:r>
            <w:r>
              <w:rPr>
                <w:rFonts w:hint="default" w:ascii="Times New Roman" w:hAnsi="Times New Roman" w:eastAsia="仿宋" w:cs="Times New Roman"/>
                <w:b/>
                <w:bCs/>
                <w:color w:val="000000" w:themeColor="text1"/>
                <w:kern w:val="0"/>
                <w:sz w:val="24"/>
                <w:szCs w:val="24"/>
                <w:lang w:val="en-US" w:eastAsia="zh-CN"/>
                <w14:textFill>
                  <w14:solidFill>
                    <w14:schemeClr w14:val="tx1"/>
                  </w14:solidFill>
                </w14:textFill>
              </w:rPr>
              <w:t>项</w:t>
            </w:r>
            <w:r>
              <w:rPr>
                <w:rFonts w:hint="eastAsia" w:ascii="Times New Roman" w:hAnsi="Times New Roman" w:eastAsia="仿宋" w:cs="Times New Roman"/>
                <w:b/>
                <w:bCs/>
                <w:color w:val="000000" w:themeColor="text1"/>
                <w:kern w:val="0"/>
                <w:sz w:val="24"/>
                <w:szCs w:val="24"/>
                <w:lang w:eastAsia="zh-CN"/>
                <w14:textFill>
                  <w14:solidFill>
                    <w14:schemeClr w14:val="tx1"/>
                  </w14:solidFill>
                </w14:textFill>
              </w:rPr>
              <w:t>）</w:t>
            </w:r>
          </w:p>
        </w:tc>
        <w:tc>
          <w:tcPr>
            <w:tcW w:w="1086"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仿宋" w:cs="Times New Roman"/>
                <w:b/>
                <w:bCs/>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bCs/>
                <w:color w:val="000000" w:themeColor="text1"/>
                <w:kern w:val="0"/>
                <w:sz w:val="24"/>
                <w:szCs w:val="24"/>
                <w:lang w:val="en-US" w:eastAsia="zh-CN"/>
                <w14:textFill>
                  <w14:solidFill>
                    <w14:schemeClr w14:val="tx1"/>
                  </w14:solidFill>
                </w14:textFill>
              </w:rPr>
              <w:t>每项拟资助</w:t>
            </w:r>
            <w:r>
              <w:rPr>
                <w:rFonts w:hint="default" w:ascii="Times New Roman" w:hAnsi="Times New Roman" w:eastAsia="仿宋" w:cs="Times New Roman"/>
                <w:b/>
                <w:bCs/>
                <w:color w:val="000000" w:themeColor="text1"/>
                <w:kern w:val="0"/>
                <w:sz w:val="24"/>
                <w:szCs w:val="24"/>
                <w:lang w:val="en-US" w:eastAsia="zh-CN"/>
                <w14:textFill>
                  <w14:solidFill>
                    <w14:schemeClr w14:val="tx1"/>
                  </w14:solidFill>
                </w14:textFill>
              </w:rPr>
              <w:t>经费</w:t>
            </w:r>
            <w:r>
              <w:rPr>
                <w:rFonts w:hint="eastAsia" w:ascii="Times New Roman" w:hAnsi="Times New Roman" w:eastAsia="仿宋" w:cs="Times New Roman"/>
                <w:b/>
                <w:bCs/>
                <w:color w:val="000000" w:themeColor="text1"/>
                <w:kern w:val="0"/>
                <w:sz w:val="24"/>
                <w:szCs w:val="24"/>
                <w:lang w:val="en-US" w:eastAsia="zh-CN"/>
                <w14:textFill>
                  <w14:solidFill>
                    <w14:schemeClr w14:val="tx1"/>
                  </w14:solidFill>
                </w14:textFill>
              </w:rPr>
              <w:t>（</w:t>
            </w:r>
            <w:r>
              <w:rPr>
                <w:rFonts w:hint="default" w:ascii="Times New Roman" w:hAnsi="Times New Roman" w:eastAsia="仿宋" w:cs="Times New Roman"/>
                <w:b/>
                <w:bCs/>
                <w:color w:val="000000" w:themeColor="text1"/>
                <w:kern w:val="0"/>
                <w:sz w:val="24"/>
                <w:szCs w:val="24"/>
                <w:lang w:val="en-US" w:eastAsia="zh-CN"/>
                <w14:textFill>
                  <w14:solidFill>
                    <w14:schemeClr w14:val="tx1"/>
                  </w14:solidFill>
                </w14:textFill>
              </w:rPr>
              <w:t>万</w:t>
            </w:r>
            <w:r>
              <w:rPr>
                <w:rFonts w:hint="eastAsia" w:ascii="Times New Roman" w:hAnsi="Times New Roman" w:eastAsia="仿宋" w:cs="Times New Roman"/>
                <w:b/>
                <w:bCs/>
                <w:color w:val="000000" w:themeColor="text1"/>
                <w:kern w:val="0"/>
                <w:sz w:val="24"/>
                <w:szCs w:val="24"/>
                <w:lang w:val="en-US" w:eastAsia="zh-CN"/>
                <w14:textFill>
                  <w14:solidFill>
                    <w14:schemeClr w14:val="tx1"/>
                  </w14:solidFill>
                </w14:textFill>
              </w:rPr>
              <w:t>）</w:t>
            </w:r>
          </w:p>
        </w:tc>
        <w:tc>
          <w:tcPr>
            <w:tcW w:w="1598"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eastAsia" w:ascii="Times New Roman" w:hAnsi="Times New Roman" w:eastAsia="仿宋" w:cs="Times New Roman"/>
                <w:b/>
                <w:bCs/>
                <w:color w:val="000000" w:themeColor="text1"/>
                <w:kern w:val="0"/>
                <w:sz w:val="24"/>
                <w:szCs w:val="24"/>
                <w:highlight w:val="none"/>
                <w:lang w:eastAsia="zh-CN"/>
                <w14:textFill>
                  <w14:solidFill>
                    <w14:schemeClr w14:val="tx1"/>
                  </w14:solidFill>
                </w14:textFill>
              </w:rPr>
            </w:pPr>
            <w:r>
              <w:rPr>
                <w:rFonts w:hint="eastAsia" w:ascii="Times New Roman" w:hAnsi="Times New Roman" w:eastAsia="仿宋" w:cs="Times New Roman"/>
                <w:b/>
                <w:bCs/>
                <w:color w:val="000000" w:themeColor="text1"/>
                <w:kern w:val="0"/>
                <w:sz w:val="24"/>
                <w:szCs w:val="24"/>
                <w:highlight w:val="none"/>
                <w:lang w:eastAsia="zh-CN"/>
                <w14:textFill>
                  <w14:solidFill>
                    <w14:schemeClr w14:val="tx1"/>
                  </w14:solidFill>
                </w14:textFill>
              </w:rPr>
              <w:t>建设年限</w:t>
            </w:r>
          </w:p>
        </w:tc>
        <w:tc>
          <w:tcPr>
            <w:tcW w:w="1024"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bCs/>
                <w:color w:val="000000" w:themeColor="text1"/>
                <w:kern w:val="0"/>
                <w:sz w:val="24"/>
                <w:szCs w:val="24"/>
                <w:highlight w:val="none"/>
                <w14:textFill>
                  <w14:solidFill>
                    <w14:schemeClr w14:val="tx1"/>
                  </w14:solidFill>
                </w14:textFill>
              </w:rPr>
            </w:pPr>
            <w:r>
              <w:rPr>
                <w:rFonts w:hint="default" w:ascii="Times New Roman" w:hAnsi="Times New Roman" w:eastAsia="仿宋" w:cs="Times New Roman"/>
                <w:b/>
                <w:bCs/>
                <w:color w:val="000000" w:themeColor="text1"/>
                <w:kern w:val="0"/>
                <w:sz w:val="24"/>
                <w:szCs w:val="24"/>
                <w:highlight w:val="none"/>
                <w14:textFill>
                  <w14:solidFill>
                    <w14:schemeClr w14:val="tx1"/>
                  </w14:solidFill>
                </w14:textFill>
              </w:rPr>
              <w:t>申报书模板编号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717" w:hRule="atLeast"/>
          <w:jc w:val="center"/>
        </w:trPr>
        <w:tc>
          <w:tcPr>
            <w:tcW w:w="4185" w:type="dxa"/>
            <w:gridSpan w:val="2"/>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both"/>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一、</w:t>
            </w:r>
            <w:r>
              <w:rPr>
                <w:rFonts w:hint="eastAsia"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综合教育教学改革</w:t>
            </w:r>
          </w:p>
        </w:tc>
        <w:tc>
          <w:tcPr>
            <w:tcW w:w="1097"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10</w:t>
            </w:r>
          </w:p>
        </w:tc>
        <w:tc>
          <w:tcPr>
            <w:tcW w:w="1086"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2</w:t>
            </w:r>
          </w:p>
        </w:tc>
        <w:tc>
          <w:tcPr>
            <w:tcW w:w="1598"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1－2年</w:t>
            </w:r>
          </w:p>
        </w:tc>
        <w:tc>
          <w:tcPr>
            <w:tcW w:w="1024"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附件1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58" w:hRule="atLeast"/>
          <w:jc w:val="center"/>
        </w:trPr>
        <w:tc>
          <w:tcPr>
            <w:tcW w:w="4185" w:type="dxa"/>
            <w:gridSpan w:val="2"/>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both"/>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二、课程思政示范课程</w:t>
            </w:r>
          </w:p>
        </w:tc>
        <w:tc>
          <w:tcPr>
            <w:tcW w:w="1097"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10</w:t>
            </w:r>
          </w:p>
        </w:tc>
        <w:tc>
          <w:tcPr>
            <w:tcW w:w="1086"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1</w:t>
            </w:r>
          </w:p>
        </w:tc>
        <w:tc>
          <w:tcPr>
            <w:tcW w:w="1598"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两轮教学周期</w:t>
            </w:r>
          </w:p>
        </w:tc>
        <w:tc>
          <w:tcPr>
            <w:tcW w:w="1024"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附件2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528" w:hRule="atLeast"/>
          <w:jc w:val="center"/>
        </w:trPr>
        <w:tc>
          <w:tcPr>
            <w:tcW w:w="1485" w:type="dxa"/>
            <w:vMerge w:val="restart"/>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both"/>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三</w:t>
            </w:r>
            <w:r>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w:t>
            </w:r>
            <w:r>
              <w:rPr>
                <w:rFonts w:hint="eastAsia"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一流</w:t>
            </w:r>
            <w:r>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课程</w:t>
            </w:r>
          </w:p>
        </w:tc>
        <w:tc>
          <w:tcPr>
            <w:tcW w:w="2700"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both"/>
              <w:rPr>
                <w:rFonts w:hint="default" w:ascii="Times New Roman" w:hAnsi="Times New Roman" w:eastAsia="仿宋" w:cs="Times New Roman"/>
                <w:b w:val="0"/>
                <w:bCs w:val="0"/>
                <w:color w:val="000000" w:themeColor="text1"/>
                <w:kern w:val="0"/>
                <w:sz w:val="24"/>
                <w:szCs w:val="24"/>
                <w:lang w:val="en-US"/>
                <w14:textFill>
                  <w14:solidFill>
                    <w14:schemeClr w14:val="tx1"/>
                  </w14:solidFill>
                </w14:textFill>
              </w:rPr>
            </w:pPr>
            <w:r>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1</w:t>
            </w:r>
            <w:r>
              <w:rPr>
                <w:rFonts w:hint="eastAsia"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.线上课程</w:t>
            </w:r>
          </w:p>
        </w:tc>
        <w:tc>
          <w:tcPr>
            <w:tcW w:w="1097"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3</w:t>
            </w:r>
          </w:p>
        </w:tc>
        <w:tc>
          <w:tcPr>
            <w:tcW w:w="1086"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3</w:t>
            </w:r>
          </w:p>
        </w:tc>
        <w:tc>
          <w:tcPr>
            <w:tcW w:w="1598"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两轮教学周期</w:t>
            </w:r>
          </w:p>
        </w:tc>
        <w:tc>
          <w:tcPr>
            <w:tcW w:w="1024"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附件3－1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94" w:hRule="atLeast"/>
          <w:jc w:val="center"/>
        </w:trPr>
        <w:tc>
          <w:tcPr>
            <w:tcW w:w="1485" w:type="dxa"/>
            <w:vMerge w:val="continue"/>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both"/>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p>
        </w:tc>
        <w:tc>
          <w:tcPr>
            <w:tcW w:w="2700"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both"/>
              <w:rPr>
                <w:rFonts w:hint="default" w:ascii="Times New Roman" w:hAnsi="Times New Roman" w:eastAsia="仿宋" w:cs="Times New Roman"/>
                <w:b w:val="0"/>
                <w:bCs w:val="0"/>
                <w:color w:val="000000" w:themeColor="text1"/>
                <w:kern w:val="0"/>
                <w:sz w:val="24"/>
                <w:szCs w:val="24"/>
                <w:highlight w:val="none"/>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2.线上线下混合式课程</w:t>
            </w:r>
          </w:p>
        </w:tc>
        <w:tc>
          <w:tcPr>
            <w:tcW w:w="1097"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10</w:t>
            </w:r>
          </w:p>
        </w:tc>
        <w:tc>
          <w:tcPr>
            <w:tcW w:w="1086"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1</w:t>
            </w:r>
          </w:p>
        </w:tc>
        <w:tc>
          <w:tcPr>
            <w:tcW w:w="1598"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两轮教学周期</w:t>
            </w:r>
          </w:p>
        </w:tc>
        <w:tc>
          <w:tcPr>
            <w:tcW w:w="1024"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附件3－2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94" w:hRule="atLeast"/>
          <w:jc w:val="center"/>
        </w:trPr>
        <w:tc>
          <w:tcPr>
            <w:tcW w:w="1485" w:type="dxa"/>
            <w:vMerge w:val="continue"/>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both"/>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p>
        </w:tc>
        <w:tc>
          <w:tcPr>
            <w:tcW w:w="2700"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both"/>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3.虚拟仿真实验教学项目（此项由已列入计划的课程申报）</w:t>
            </w:r>
            <w:bookmarkStart w:id="0" w:name="_GoBack"/>
            <w:bookmarkEnd w:id="0"/>
          </w:p>
        </w:tc>
        <w:tc>
          <w:tcPr>
            <w:tcW w:w="1097"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7</w:t>
            </w:r>
          </w:p>
        </w:tc>
        <w:tc>
          <w:tcPr>
            <w:tcW w:w="1086"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5</w:t>
            </w:r>
          </w:p>
        </w:tc>
        <w:tc>
          <w:tcPr>
            <w:tcW w:w="1598"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1年</w:t>
            </w:r>
          </w:p>
        </w:tc>
        <w:tc>
          <w:tcPr>
            <w:tcW w:w="1024"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附件3－3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94" w:hRule="atLeast"/>
          <w:jc w:val="center"/>
        </w:trPr>
        <w:tc>
          <w:tcPr>
            <w:tcW w:w="1485" w:type="dxa"/>
            <w:vMerge w:val="continue"/>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both"/>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p>
        </w:tc>
        <w:tc>
          <w:tcPr>
            <w:tcW w:w="2700"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both"/>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4.社会实践课程</w:t>
            </w:r>
          </w:p>
        </w:tc>
        <w:tc>
          <w:tcPr>
            <w:tcW w:w="1097"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5</w:t>
            </w:r>
          </w:p>
        </w:tc>
        <w:tc>
          <w:tcPr>
            <w:tcW w:w="1086"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1</w:t>
            </w:r>
          </w:p>
        </w:tc>
        <w:tc>
          <w:tcPr>
            <w:tcW w:w="1598"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两轮教学周期</w:t>
            </w:r>
          </w:p>
        </w:tc>
        <w:tc>
          <w:tcPr>
            <w:tcW w:w="1024"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附件3－4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94" w:hRule="atLeast"/>
          <w:jc w:val="center"/>
        </w:trPr>
        <w:tc>
          <w:tcPr>
            <w:tcW w:w="4185" w:type="dxa"/>
            <w:gridSpan w:val="2"/>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both"/>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四、课程知识图谱</w:t>
            </w:r>
          </w:p>
        </w:tc>
        <w:tc>
          <w:tcPr>
            <w:tcW w:w="1097"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5</w:t>
            </w:r>
          </w:p>
        </w:tc>
        <w:tc>
          <w:tcPr>
            <w:tcW w:w="1086"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3</w:t>
            </w:r>
          </w:p>
        </w:tc>
        <w:tc>
          <w:tcPr>
            <w:tcW w:w="1598"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1－2年</w:t>
            </w:r>
          </w:p>
        </w:tc>
        <w:tc>
          <w:tcPr>
            <w:tcW w:w="1024"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附件4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94" w:hRule="atLeast"/>
          <w:jc w:val="center"/>
        </w:trPr>
        <w:tc>
          <w:tcPr>
            <w:tcW w:w="4185" w:type="dxa"/>
            <w:gridSpan w:val="2"/>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both"/>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sz w:val="24"/>
                <w:szCs w:val="24"/>
                <w:lang w:val="en-US" w:eastAsia="zh-CN"/>
                <w14:textFill>
                  <w14:solidFill>
                    <w14:schemeClr w14:val="tx1"/>
                  </w14:solidFill>
                </w14:textFill>
              </w:rPr>
              <w:t>五</w:t>
            </w:r>
            <w:r>
              <w:rPr>
                <w:rFonts w:hint="default" w:ascii="Times New Roman" w:hAnsi="Times New Roman" w:eastAsia="仿宋" w:cs="Times New Roman"/>
                <w:b w:val="0"/>
                <w:bCs w:val="0"/>
                <w:color w:val="000000" w:themeColor="text1"/>
                <w:sz w:val="24"/>
                <w:szCs w:val="24"/>
                <w:lang w:val="en-US" w:eastAsia="zh-CN"/>
                <w14:textFill>
                  <w14:solidFill>
                    <w14:schemeClr w14:val="tx1"/>
                  </w14:solidFill>
                </w14:textFill>
              </w:rPr>
              <w:t>、</w:t>
            </w:r>
            <w:r>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新形态教材</w:t>
            </w:r>
          </w:p>
        </w:tc>
        <w:tc>
          <w:tcPr>
            <w:tcW w:w="1097"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10</w:t>
            </w:r>
          </w:p>
        </w:tc>
        <w:tc>
          <w:tcPr>
            <w:tcW w:w="1086"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2</w:t>
            </w:r>
          </w:p>
        </w:tc>
        <w:tc>
          <w:tcPr>
            <w:tcW w:w="1598"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2年</w:t>
            </w:r>
          </w:p>
        </w:tc>
        <w:tc>
          <w:tcPr>
            <w:tcW w:w="1024"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附件5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94" w:hRule="atLeast"/>
          <w:jc w:val="center"/>
        </w:trPr>
        <w:tc>
          <w:tcPr>
            <w:tcW w:w="4185" w:type="dxa"/>
            <w:gridSpan w:val="2"/>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both"/>
              <w:rPr>
                <w:rFonts w:hint="eastAsia" w:ascii="Times New Roman" w:hAnsi="Times New Roman" w:eastAsia="仿宋" w:cs="Times New Roman"/>
                <w:b w:val="0"/>
                <w:bCs w:val="0"/>
                <w:color w:val="000000" w:themeColor="text1"/>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sz w:val="24"/>
                <w:szCs w:val="24"/>
                <w:lang w:val="en-US" w:eastAsia="zh-CN"/>
                <w14:textFill>
                  <w14:solidFill>
                    <w14:schemeClr w14:val="tx1"/>
                  </w14:solidFill>
                </w14:textFill>
              </w:rPr>
              <w:t>六、“三创”教育示范课程</w:t>
            </w:r>
          </w:p>
        </w:tc>
        <w:tc>
          <w:tcPr>
            <w:tcW w:w="1097"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right="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8</w:t>
            </w:r>
          </w:p>
        </w:tc>
        <w:tc>
          <w:tcPr>
            <w:tcW w:w="1086"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1</w:t>
            </w:r>
          </w:p>
        </w:tc>
        <w:tc>
          <w:tcPr>
            <w:tcW w:w="1598"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两轮教学周期</w:t>
            </w:r>
          </w:p>
        </w:tc>
        <w:tc>
          <w:tcPr>
            <w:tcW w:w="1024"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附件6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651" w:hRule="atLeast"/>
          <w:jc w:val="center"/>
        </w:trPr>
        <w:tc>
          <w:tcPr>
            <w:tcW w:w="4185" w:type="dxa"/>
            <w:gridSpan w:val="2"/>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right="0"/>
              <w:jc w:val="both"/>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七、校企共建示范课程</w:t>
            </w:r>
          </w:p>
        </w:tc>
        <w:tc>
          <w:tcPr>
            <w:tcW w:w="1097"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15</w:t>
            </w:r>
          </w:p>
        </w:tc>
        <w:tc>
          <w:tcPr>
            <w:tcW w:w="1086"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1</w:t>
            </w:r>
          </w:p>
        </w:tc>
        <w:tc>
          <w:tcPr>
            <w:tcW w:w="1598"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两轮教学周期</w:t>
            </w:r>
          </w:p>
        </w:tc>
        <w:tc>
          <w:tcPr>
            <w:tcW w:w="1024" w:type="dxa"/>
            <w:tcBorders>
              <w:tl2br w:val="nil"/>
              <w:tr2bl w:val="nil"/>
            </w:tcBorders>
            <w:shd w:val="clear" w:color="auto" w:fill="auto"/>
            <w:vAlign w:val="center"/>
          </w:tcPr>
          <w:p>
            <w:pPr>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附件7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457" w:hRule="atLeast"/>
          <w:jc w:val="center"/>
        </w:trPr>
        <w:tc>
          <w:tcPr>
            <w:tcW w:w="4185" w:type="dxa"/>
            <w:gridSpan w:val="2"/>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both"/>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 w:cs="Times New Roman"/>
                <w:b w:val="0"/>
                <w:bCs w:val="0"/>
                <w:color w:val="000000" w:themeColor="text1"/>
                <w:sz w:val="24"/>
                <w:szCs w:val="24"/>
                <w:lang w:val="en-US" w:eastAsia="zh-CN"/>
                <w14:textFill>
                  <w14:solidFill>
                    <w14:schemeClr w14:val="tx1"/>
                  </w14:solidFill>
                </w14:textFill>
              </w:rPr>
              <w:t>八</w:t>
            </w:r>
            <w:r>
              <w:rPr>
                <w:rFonts w:hint="default" w:ascii="Times New Roman" w:hAnsi="Times New Roman" w:eastAsia="仿宋" w:cs="Times New Roman"/>
                <w:b w:val="0"/>
                <w:bCs w:val="0"/>
                <w:color w:val="000000" w:themeColor="text1"/>
                <w:sz w:val="24"/>
                <w:szCs w:val="24"/>
                <w:lang w:val="en-US" w:eastAsia="zh-CN"/>
                <w14:textFill>
                  <w14:solidFill>
                    <w14:schemeClr w14:val="tx1"/>
                  </w14:solidFill>
                </w14:textFill>
              </w:rPr>
              <w:t>、</w:t>
            </w:r>
            <w:r>
              <w:rPr>
                <w:rFonts w:hint="eastAsia" w:ascii="Times New Roman" w:hAnsi="Times New Roman" w:eastAsia="仿宋" w:cs="Times New Roman"/>
                <w:b w:val="0"/>
                <w:bCs w:val="0"/>
                <w:color w:val="000000" w:themeColor="text1"/>
                <w:sz w:val="24"/>
                <w:szCs w:val="24"/>
                <w:lang w:val="en-US" w:eastAsia="zh-CN"/>
                <w14:textFill>
                  <w14:solidFill>
                    <w14:schemeClr w14:val="tx1"/>
                  </w14:solidFill>
                </w14:textFill>
              </w:rPr>
              <w:t>产教融合</w:t>
            </w:r>
            <w:r>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t>实践基地</w:t>
            </w:r>
          </w:p>
        </w:tc>
        <w:tc>
          <w:tcPr>
            <w:tcW w:w="1097"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eastAsia="zh-CN" w:bidi="ar"/>
                <w14:textFill>
                  <w14:solidFill>
                    <w14:schemeClr w14:val="tx1"/>
                  </w14:solidFill>
                </w14:textFill>
              </w:rPr>
            </w:pPr>
            <w: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10</w:t>
            </w:r>
          </w:p>
        </w:tc>
        <w:tc>
          <w:tcPr>
            <w:tcW w:w="1086"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lang w:val="en-US"/>
                <w14:textFill>
                  <w14:solidFill>
                    <w14:schemeClr w14:val="tx1"/>
                  </w14:solidFill>
                </w14:textFill>
              </w:rPr>
            </w:pPr>
            <w:r>
              <w:rPr>
                <w:rFonts w:hint="default" w:ascii="Times New Roman" w:hAnsi="Times New Roman" w:eastAsia="仿宋" w:cs="Times New Roman"/>
                <w:b w:val="0"/>
                <w:bCs w:val="0"/>
                <w:color w:val="000000" w:themeColor="text1"/>
                <w:kern w:val="0"/>
                <w:sz w:val="24"/>
                <w:szCs w:val="24"/>
                <w:lang w:val="en-US" w:eastAsia="zh-CN"/>
                <w14:textFill>
                  <w14:solidFill>
                    <w14:schemeClr w14:val="tx1"/>
                  </w14:solidFill>
                </w14:textFill>
              </w:rPr>
              <w:t>1</w:t>
            </w:r>
          </w:p>
        </w:tc>
        <w:tc>
          <w:tcPr>
            <w:tcW w:w="1598"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1－2年</w:t>
            </w:r>
          </w:p>
        </w:tc>
        <w:tc>
          <w:tcPr>
            <w:tcW w:w="1024" w:type="dxa"/>
            <w:tcBorders>
              <w:tl2br w:val="nil"/>
              <w:tr2bl w:val="nil"/>
            </w:tcBorders>
            <w:shd w:val="clear" w:color="auto" w:fill="auto"/>
            <w:vAlign w:val="center"/>
          </w:tcPr>
          <w:p>
            <w:pPr>
              <w:pStyle w:val="7"/>
              <w:keepNext w:val="0"/>
              <w:keepLines w:val="0"/>
              <w:widowControl/>
              <w:suppressLineNumbers w:val="0"/>
              <w:shd w:val="clear"/>
              <w:spacing w:before="0" w:beforeAutospacing="0" w:after="0" w:afterAutospacing="0" w:line="315" w:lineRule="atLeast"/>
              <w:ind w:left="0" w:leftChars="0" w:right="0" w:rightChars="0"/>
              <w:jc w:val="center"/>
              <w:rPr>
                <w:rFonts w:hint="default"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 w:cs="Times New Roman"/>
                <w:b w:val="0"/>
                <w:bCs w:val="0"/>
                <w:color w:val="000000" w:themeColor="text1"/>
                <w:kern w:val="0"/>
                <w:sz w:val="24"/>
                <w:szCs w:val="24"/>
                <w:highlight w:val="none"/>
                <w:lang w:val="en-US" w:eastAsia="zh-CN"/>
                <w14:textFill>
                  <w14:solidFill>
                    <w14:schemeClr w14:val="tx1"/>
                  </w14:solidFill>
                </w14:textFill>
              </w:rPr>
              <w:t>附件8</w:t>
            </w:r>
          </w:p>
        </w:tc>
      </w:tr>
    </w:tbl>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240" w:lineRule="auto"/>
        <w:ind w:firstLine="420" w:firstLineChars="200"/>
        <w:jc w:val="both"/>
        <w:textAlignment w:val="auto"/>
        <w:rPr>
          <w:rFonts w:hint="eastAsia" w:ascii="Times New Roman" w:hAnsi="Times New Roman" w:eastAsia="仿宋" w:cs="Times New Roman"/>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特别说明：</w:t>
      </w:r>
      <w:r>
        <w:rPr>
          <w:rFonts w:hint="eastAsia" w:ascii="Times New Roman" w:hAnsi="Times New Roman" w:eastAsia="仿宋" w:cs="Times New Roman"/>
          <w:color w:val="000000" w:themeColor="text1"/>
          <w:sz w:val="21"/>
          <w:szCs w:val="21"/>
          <w:lang w:val="en-US" w:eastAsia="zh-CN"/>
          <w14:textFill>
            <w14:solidFill>
              <w14:schemeClr w14:val="tx1"/>
            </w14:solidFill>
          </w14:textFill>
        </w:rPr>
        <w:t>1.</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表中的经费仅为参考，具体须根据学校现有经费实际，</w:t>
      </w:r>
      <w:r>
        <w:rPr>
          <w:rFonts w:hint="eastAsia" w:ascii="Times New Roman" w:hAnsi="Times New Roman" w:eastAsia="仿宋" w:cs="Times New Roman"/>
          <w:color w:val="000000" w:themeColor="text1"/>
          <w:sz w:val="21"/>
          <w:szCs w:val="21"/>
          <w:lang w:val="en-US" w:eastAsia="zh-CN"/>
          <w14:textFill>
            <w14:solidFill>
              <w14:schemeClr w14:val="tx1"/>
            </w14:solidFill>
          </w14:textFill>
        </w:rPr>
        <w:t>最终</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以学校下达的项目立项经费文件为准。</w:t>
      </w:r>
      <w:r>
        <w:rPr>
          <w:rFonts w:hint="eastAsia" w:ascii="Times New Roman" w:hAnsi="Times New Roman" w:eastAsia="仿宋" w:cs="Times New Roman"/>
          <w:color w:val="000000" w:themeColor="text1"/>
          <w:sz w:val="21"/>
          <w:szCs w:val="21"/>
          <w:lang w:val="en-US" w:eastAsia="zh-CN"/>
          <w14:textFill>
            <w14:solidFill>
              <w14:schemeClr w14:val="tx1"/>
            </w14:solidFill>
          </w14:textFill>
        </w:rPr>
        <w:t>2.表中项目数为限额数，遵循宁缺毋滥原则。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0" w:right="0" w:firstLine="562"/>
        <w:jc w:val="both"/>
        <w:textAlignment w:val="auto"/>
        <w:outlineLvl w:val="0"/>
        <w:rPr>
          <w:rFonts w:hint="default"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pP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四</w:t>
      </w:r>
      <w:r>
        <w:rPr>
          <w:rFonts w:hint="default"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w:t>
      </w:r>
      <w:r>
        <w:rPr>
          <w:rFonts w:hint="eastAsia" w:ascii="Times New Roman" w:hAnsi="Times New Roman" w:eastAsia="仿宋_GB2312" w:cs="Times New Roman"/>
          <w:b/>
          <w:bCs/>
          <w:caps w:val="0"/>
          <w:color w:val="000000" w:themeColor="text1"/>
          <w:spacing w:val="0"/>
          <w:kern w:val="0"/>
          <w:sz w:val="28"/>
          <w:szCs w:val="28"/>
          <w:lang w:val="en-US" w:eastAsia="zh-CN" w:bidi="ar"/>
          <w14:textFill>
            <w14:solidFill>
              <w14:schemeClr w14:val="tx1"/>
            </w14:solidFill>
          </w14:textFill>
        </w:rPr>
        <w:t>申报方式</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pP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1</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.2024年5月7日之前</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项目申报者结合实际遴选项目类型，撰写完成《项目申报书》《申报汇总表》</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电子版</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提交所在学院（部门）审核。</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pP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2</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.2024年5月9日之前</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各学院（部门）</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对申报项目</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进行形式和内容审核。将</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本单位</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《项目申报书》</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及</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佐证材料、《XX院</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（部）</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申报</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推荐</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汇总表》纸质</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盖章</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版</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一份</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提交至教务处一（瑞1-301），电子版</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以“XX学院2024年教改项目申报材料”命名，汇总</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发至邮箱wyxyjwziliao@163.com。</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pP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3.</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202</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4</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年</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5</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月</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15</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日</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之</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前，</w:t>
      </w: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项目负责人用超星学习通账号登录</w:t>
      </w:r>
      <w:r>
        <w:rPr>
          <w:rFonts w:hint="eastAsia" w:ascii="仿宋_GB2312" w:hAnsi="仿宋_GB2312" w:eastAsia="仿宋_GB2312" w:cs="仿宋_GB2312"/>
          <w:bCs/>
          <w:sz w:val="21"/>
          <w:szCs w:val="21"/>
          <w:lang w:val="en-US" w:eastAsia="zh-CN"/>
        </w:rPr>
        <w:t>http://wuyiu.fanya.chaoxing.com/portal</w:t>
      </w:r>
      <w:r>
        <w:rPr>
          <w:rFonts w:hint="eastAsia" w:ascii="仿宋_GB2312" w:hAnsi="仿宋_GB2312" w:eastAsia="仿宋_GB2312" w:cs="仿宋_GB2312"/>
          <w:bCs/>
          <w:sz w:val="28"/>
          <w:szCs w:val="28"/>
          <w:lang w:val="en-US" w:eastAsia="zh-CN"/>
        </w:rPr>
        <w:t>进入教务处教科研平台选择申报类型进行在线申报，平台中须上传签字盖章后的PDF版申报书。</w:t>
      </w:r>
    </w:p>
    <w:p>
      <w:pPr>
        <w:pStyle w:val="7"/>
        <w:keepNext w:val="0"/>
        <w:keepLines w:val="0"/>
        <w:pageBreakBefore w:val="0"/>
        <w:widowControl/>
        <w:numPr>
          <w:ilvl w:val="0"/>
          <w:numId w:val="0"/>
        </w:numPr>
        <w:suppressLineNumbers w:val="0"/>
        <w:shd w:val="clear" w:color="auto"/>
        <w:kinsoku/>
        <w:wordWrap/>
        <w:overflowPunct/>
        <w:topLinePunct w:val="0"/>
        <w:autoSpaceDE/>
        <w:autoSpaceDN/>
        <w:bidi w:val="0"/>
        <w:adjustRightInd/>
        <w:snapToGrid/>
        <w:spacing w:before="0" w:beforeAutospacing="0" w:after="0" w:afterAutospacing="0" w:line="520" w:lineRule="exact"/>
        <w:ind w:leftChars="200" w:right="0" w:rightChars="0"/>
        <w:jc w:val="both"/>
        <w:textAlignment w:val="auto"/>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pPr>
      <w:r>
        <w:rPr>
          <w:rFonts w:hint="eastAsia"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联系人：汤老师，于老师；</w:t>
      </w:r>
      <w:r>
        <w:rPr>
          <w:rFonts w:hint="default" w:ascii="Times New Roman" w:hAnsi="Times New Roman" w:eastAsia="仿宋_GB2312" w:cs="Times New Roman"/>
          <w:caps w:val="0"/>
          <w:color w:val="000000" w:themeColor="text1"/>
          <w:spacing w:val="0"/>
          <w:kern w:val="0"/>
          <w:sz w:val="28"/>
          <w:szCs w:val="28"/>
          <w:lang w:val="en-US" w:eastAsia="zh-CN" w:bidi="ar"/>
          <w14:textFill>
            <w14:solidFill>
              <w14:schemeClr w14:val="tx1"/>
            </w14:solidFill>
          </w14:textFill>
        </w:rPr>
        <w:t>联系电话：0599-5136099。</w:t>
      </w:r>
    </w:p>
    <w:p>
      <w:pPr>
        <w:pStyle w:val="7"/>
        <w:keepNext w:val="0"/>
        <w:keepLines w:val="0"/>
        <w:pageBreakBefore w:val="0"/>
        <w:widowControl/>
        <w:numPr>
          <w:ilvl w:val="0"/>
          <w:numId w:val="0"/>
        </w:numPr>
        <w:suppressLineNumbers w:val="0"/>
        <w:shd w:val="clear" w:color="auto"/>
        <w:kinsoku/>
        <w:wordWrap/>
        <w:overflowPunct/>
        <w:topLinePunct w:val="0"/>
        <w:autoSpaceDE/>
        <w:autoSpaceDN/>
        <w:bidi w:val="0"/>
        <w:adjustRightInd/>
        <w:snapToGrid/>
        <w:spacing w:before="0" w:beforeAutospacing="0" w:after="0" w:afterAutospacing="0" w:line="480" w:lineRule="exact"/>
        <w:ind w:leftChars="200" w:right="0" w:rightChars="0"/>
        <w:jc w:val="both"/>
        <w:textAlignment w:val="auto"/>
        <w:rPr>
          <w:rFonts w:hint="default" w:ascii="Times New Roman" w:hAnsi="Times New Roman" w:eastAsia="仿宋" w:cs="Times New Roman"/>
          <w:color w:val="000000" w:themeColor="text1"/>
          <w:sz w:val="28"/>
          <w:szCs w:val="28"/>
          <w14:textFill>
            <w14:solidFill>
              <w14:schemeClr w14:val="tx1"/>
            </w14:solidFill>
          </w14:textFill>
        </w:rPr>
      </w:pP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rPr>
          <w:rFonts w:hint="default" w:ascii="Times New Roman" w:hAnsi="Times New Roman" w:eastAsia="仿宋" w:cs="Times New Roman"/>
          <w:b w:val="0"/>
          <w:bCs w:val="0"/>
          <w:color w:val="000000" w:themeColor="text1"/>
          <w:sz w:val="24"/>
          <w:szCs w:val="24"/>
          <w:highlight w:val="no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4"/>
          <w:szCs w:val="24"/>
          <w:highlight w:val="none"/>
          <w:lang w:val="en-US" w:eastAsia="zh-CN"/>
          <w14:textFill>
            <w14:solidFill>
              <w14:schemeClr w14:val="tx1"/>
            </w14:solidFill>
          </w14:textFill>
        </w:rPr>
        <w:t>附件0：××院（部）202</w:t>
      </w:r>
      <w:r>
        <w:rPr>
          <w:rFonts w:hint="eastAsia" w:ascii="Times New Roman" w:hAnsi="Times New Roman" w:eastAsia="仿宋" w:cs="Times New Roman"/>
          <w:b w:val="0"/>
          <w:bCs w:val="0"/>
          <w:color w:val="000000" w:themeColor="text1"/>
          <w:sz w:val="24"/>
          <w:szCs w:val="24"/>
          <w:highlight w:val="none"/>
          <w:lang w:val="en-US" w:eastAsia="zh-CN"/>
          <w14:textFill>
            <w14:solidFill>
              <w14:schemeClr w14:val="tx1"/>
            </w14:solidFill>
          </w14:textFill>
        </w:rPr>
        <w:t>4</w:t>
      </w:r>
      <w:r>
        <w:rPr>
          <w:rFonts w:hint="default" w:ascii="Times New Roman" w:hAnsi="Times New Roman" w:eastAsia="仿宋" w:cs="Times New Roman"/>
          <w:b w:val="0"/>
          <w:bCs w:val="0"/>
          <w:color w:val="000000" w:themeColor="text1"/>
          <w:sz w:val="24"/>
          <w:szCs w:val="24"/>
          <w:highlight w:val="none"/>
          <w:lang w:val="en-US" w:eastAsia="zh-CN"/>
          <w14:textFill>
            <w14:solidFill>
              <w14:schemeClr w14:val="tx1"/>
            </w14:solidFill>
          </w14:textFill>
        </w:rPr>
        <w:t>年校级教研教改项目申报推荐汇总表</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rPr>
          <w:rFonts w:hint="default" w:ascii="Times New Roman" w:hAnsi="Times New Roman" w:eastAsia="仿宋" w:cs="Times New Roman"/>
          <w:b w:val="0"/>
          <w:bCs w:val="0"/>
          <w:color w:val="000000" w:themeColor="text1"/>
          <w:sz w:val="24"/>
          <w:szCs w:val="24"/>
          <w14:textFill>
            <w14:solidFill>
              <w14:schemeClr w14:val="tx1"/>
            </w14:solidFill>
          </w14:textFill>
        </w:rPr>
      </w:pPr>
      <w:r>
        <w:rPr>
          <w:rFonts w:hint="default" w:ascii="Times New Roman" w:hAnsi="Times New Roman" w:eastAsia="仿宋" w:cs="Times New Roman"/>
          <w:b w:val="0"/>
          <w:bCs w:val="0"/>
          <w:color w:val="000000" w:themeColor="text1"/>
          <w:sz w:val="24"/>
          <w:szCs w:val="24"/>
          <w14:textFill>
            <w14:solidFill>
              <w14:schemeClr w14:val="tx1"/>
            </w14:solidFill>
          </w14:textFill>
        </w:rPr>
        <w:t>附件1：</w:t>
      </w:r>
      <w:r>
        <w:rPr>
          <w:rFonts w:hint="eastAsia" w:ascii="Times New Roman" w:hAnsi="Times New Roman" w:eastAsia="仿宋" w:cs="Times New Roman"/>
          <w:b w:val="0"/>
          <w:bCs w:val="0"/>
          <w:color w:val="000000" w:themeColor="text1"/>
          <w:sz w:val="24"/>
          <w:szCs w:val="24"/>
          <w:lang w:eastAsia="zh-CN"/>
          <w14:textFill>
            <w14:solidFill>
              <w14:schemeClr w14:val="tx1"/>
            </w14:solidFill>
          </w14:textFill>
        </w:rPr>
        <w:t>武夷学院</w:t>
      </w:r>
      <w:r>
        <w:rPr>
          <w:rFonts w:hint="default" w:ascii="Times New Roman" w:hAnsi="Times New Roman" w:eastAsia="仿宋" w:cs="Times New Roman"/>
          <w:b w:val="0"/>
          <w:bCs w:val="0"/>
          <w:color w:val="000000" w:themeColor="text1"/>
          <w:sz w:val="24"/>
          <w:szCs w:val="24"/>
          <w14:textFill>
            <w14:solidFill>
              <w14:schemeClr w14:val="tx1"/>
            </w14:solidFill>
          </w14:textFill>
        </w:rPr>
        <w:t>教育教学研究项目</w:t>
      </w:r>
      <w:r>
        <w:rPr>
          <w:rFonts w:hint="eastAsia" w:ascii="Times New Roman" w:hAnsi="Times New Roman" w:eastAsia="仿宋" w:cs="Times New Roman"/>
          <w:b w:val="0"/>
          <w:bCs w:val="0"/>
          <w:color w:val="000000" w:themeColor="text1"/>
          <w:sz w:val="24"/>
          <w:szCs w:val="24"/>
          <w:lang w:eastAsia="zh-CN"/>
          <w14:textFill>
            <w14:solidFill>
              <w14:schemeClr w14:val="tx1"/>
            </w14:solidFill>
          </w14:textFill>
        </w:rPr>
        <w:t>立项</w:t>
      </w:r>
      <w:r>
        <w:rPr>
          <w:rFonts w:hint="default" w:ascii="Times New Roman" w:hAnsi="Times New Roman" w:eastAsia="仿宋" w:cs="Times New Roman"/>
          <w:b w:val="0"/>
          <w:bCs w:val="0"/>
          <w:color w:val="000000" w:themeColor="text1"/>
          <w:sz w:val="24"/>
          <w:szCs w:val="24"/>
          <w14:textFill>
            <w14:solidFill>
              <w14:schemeClr w14:val="tx1"/>
            </w14:solidFill>
          </w14:textFill>
        </w:rPr>
        <w:t>申报书</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rPr>
          <w:rFonts w:hint="default" w:ascii="Times New Roman" w:hAnsi="Times New Roman" w:eastAsia="仿宋" w:cs="Times New Roman"/>
          <w:b w:val="0"/>
          <w:bCs w:val="0"/>
          <w:color w:val="000000" w:themeColor="text1"/>
          <w:sz w:val="24"/>
          <w:szCs w:val="24"/>
          <w14:textFill>
            <w14:solidFill>
              <w14:schemeClr w14:val="tx1"/>
            </w14:solidFill>
          </w14:textFill>
        </w:rPr>
      </w:pPr>
      <w:r>
        <w:rPr>
          <w:rFonts w:hint="default" w:ascii="Times New Roman" w:hAnsi="Times New Roman" w:eastAsia="仿宋" w:cs="Times New Roman"/>
          <w:b w:val="0"/>
          <w:bCs w:val="0"/>
          <w:color w:val="000000" w:themeColor="text1"/>
          <w:sz w:val="24"/>
          <w:szCs w:val="24"/>
          <w14:textFill>
            <w14:solidFill>
              <w14:schemeClr w14:val="tx1"/>
            </w14:solidFill>
          </w14:textFill>
        </w:rPr>
        <w:t>附件2：武夷学院课程思政示范课程</w:t>
      </w:r>
      <w:r>
        <w:rPr>
          <w:rFonts w:hint="eastAsia" w:ascii="Times New Roman" w:hAnsi="Times New Roman" w:eastAsia="仿宋" w:cs="Times New Roman"/>
          <w:b w:val="0"/>
          <w:bCs w:val="0"/>
          <w:color w:val="000000" w:themeColor="text1"/>
          <w:sz w:val="24"/>
          <w:szCs w:val="24"/>
          <w:lang w:eastAsia="zh-CN"/>
          <w14:textFill>
            <w14:solidFill>
              <w14:schemeClr w14:val="tx1"/>
            </w14:solidFill>
          </w14:textFill>
        </w:rPr>
        <w:t>立</w:t>
      </w:r>
      <w:r>
        <w:rPr>
          <w:rFonts w:hint="default" w:ascii="Times New Roman" w:hAnsi="Times New Roman" w:eastAsia="仿宋" w:cs="Times New Roman"/>
          <w:b w:val="0"/>
          <w:bCs w:val="0"/>
          <w:color w:val="000000" w:themeColor="text1"/>
          <w:sz w:val="24"/>
          <w:szCs w:val="24"/>
          <w14:textFill>
            <w14:solidFill>
              <w14:schemeClr w14:val="tx1"/>
            </w14:solidFill>
          </w14:textFill>
        </w:rPr>
        <w:t>项申报书</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rPr>
          <w:rFonts w:hint="eastAsia"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附件</w:t>
      </w:r>
      <w:r>
        <w:rPr>
          <w:rFonts w:hint="eastAsia" w:ascii="Times New Roman" w:hAnsi="Times New Roman" w:eastAsia="仿宋" w:cs="Times New Roman"/>
          <w:color w:val="000000" w:themeColor="text1"/>
          <w:sz w:val="24"/>
          <w:szCs w:val="24"/>
          <w:lang w:val="en-US" w:eastAsia="zh-CN"/>
          <w14:textFill>
            <w14:solidFill>
              <w14:schemeClr w14:val="tx1"/>
            </w14:solidFill>
          </w14:textFill>
        </w:rPr>
        <w:t>3</w:t>
      </w:r>
      <w:r>
        <w:rPr>
          <w:rFonts w:hint="default" w:ascii="Times New Roman" w:hAnsi="Times New Roman" w:eastAsia="仿宋" w:cs="Times New Roman"/>
          <w:color w:val="000000" w:themeColor="text1"/>
          <w:sz w:val="24"/>
          <w:szCs w:val="24"/>
          <w14:textFill>
            <w14:solidFill>
              <w14:schemeClr w14:val="tx1"/>
            </w14:solidFill>
          </w14:textFill>
        </w:rPr>
        <w:t>-1：</w:t>
      </w:r>
      <w:r>
        <w:rPr>
          <w:rFonts w:hint="eastAsia" w:ascii="Times New Roman" w:hAnsi="Times New Roman" w:eastAsia="仿宋" w:cs="Times New Roman"/>
          <w:color w:val="000000" w:themeColor="text1"/>
          <w:sz w:val="24"/>
          <w:szCs w:val="24"/>
          <w:lang w:eastAsia="zh-CN"/>
          <w14:textFill>
            <w14:solidFill>
              <w14:schemeClr w14:val="tx1"/>
            </w14:solidFill>
          </w14:textFill>
        </w:rPr>
        <w:t>武夷学院线上一流课程建设立项申报书</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rPr>
          <w:rFonts w:hint="default" w:ascii="Times New Roman" w:hAnsi="Times New Roman" w:eastAsia="仿宋" w:cs="Times New Roman"/>
          <w:b/>
          <w:bCs/>
          <w:color w:val="000000" w:themeColor="text1"/>
          <w:sz w:val="24"/>
          <w:szCs w:val="24"/>
          <w14:textFill>
            <w14:solidFill>
              <w14:schemeClr w14:val="tx1"/>
            </w14:solidFill>
          </w14:textFill>
        </w:rPr>
      </w:pPr>
      <w:r>
        <w:rPr>
          <w:rFonts w:hint="default" w:ascii="Times New Roman" w:hAnsi="Times New Roman" w:eastAsia="仿宋" w:cs="Times New Roman"/>
          <w:b w:val="0"/>
          <w:bCs w:val="0"/>
          <w:color w:val="000000" w:themeColor="text1"/>
          <w:sz w:val="24"/>
          <w:szCs w:val="24"/>
          <w14:textFill>
            <w14:solidFill>
              <w14:schemeClr w14:val="tx1"/>
            </w14:solidFill>
          </w14:textFill>
        </w:rPr>
        <w:t>附件</w:t>
      </w:r>
      <w:r>
        <w:rPr>
          <w:rFonts w:hint="eastAsia" w:ascii="Times New Roman" w:hAnsi="Times New Roman" w:eastAsia="仿宋" w:cs="Times New Roman"/>
          <w:b w:val="0"/>
          <w:bCs w:val="0"/>
          <w:color w:val="000000" w:themeColor="text1"/>
          <w:sz w:val="24"/>
          <w:szCs w:val="24"/>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sz w:val="24"/>
          <w:szCs w:val="24"/>
          <w14:textFill>
            <w14:solidFill>
              <w14:schemeClr w14:val="tx1"/>
            </w14:solidFill>
          </w14:textFill>
        </w:rPr>
        <w:t>-</w:t>
      </w:r>
      <w:r>
        <w:rPr>
          <w:rFonts w:hint="eastAsia" w:ascii="Times New Roman" w:hAnsi="Times New Roman" w:eastAsia="仿宋" w:cs="Times New Roman"/>
          <w:b w:val="0"/>
          <w:bCs w:val="0"/>
          <w:color w:val="000000" w:themeColor="text1"/>
          <w:sz w:val="24"/>
          <w:szCs w:val="24"/>
          <w:lang w:val="en-US" w:eastAsia="zh-CN"/>
          <w14:textFill>
            <w14:solidFill>
              <w14:schemeClr w14:val="tx1"/>
            </w14:solidFill>
          </w14:textFill>
        </w:rPr>
        <w:t>2</w:t>
      </w:r>
      <w:r>
        <w:rPr>
          <w:rFonts w:hint="default" w:ascii="Times New Roman" w:hAnsi="Times New Roman" w:eastAsia="仿宋" w:cs="Times New Roman"/>
          <w:b w:val="0"/>
          <w:bCs w:val="0"/>
          <w:color w:val="000000" w:themeColor="text1"/>
          <w:sz w:val="24"/>
          <w:szCs w:val="24"/>
          <w14:textFill>
            <w14:solidFill>
              <w14:schemeClr w14:val="tx1"/>
            </w14:solidFill>
          </w14:textFill>
        </w:rPr>
        <w:t>：</w:t>
      </w:r>
      <w:r>
        <w:rPr>
          <w:rFonts w:hint="eastAsia" w:ascii="Times New Roman" w:hAnsi="Times New Roman" w:eastAsia="仿宋" w:cs="Times New Roman"/>
          <w:color w:val="000000" w:themeColor="text1"/>
          <w:sz w:val="24"/>
          <w:szCs w:val="24"/>
          <w:lang w:eastAsia="zh-CN"/>
          <w14:textFill>
            <w14:solidFill>
              <w14:schemeClr w14:val="tx1"/>
            </w14:solidFill>
          </w14:textFill>
        </w:rPr>
        <w:t>武夷学院线上线下混合式一流课程建设立项申报书</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rPr>
          <w:rFonts w:hint="eastAsia"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b w:val="0"/>
          <w:bCs w:val="0"/>
          <w:color w:val="000000" w:themeColor="text1"/>
          <w:sz w:val="24"/>
          <w:szCs w:val="24"/>
          <w14:textFill>
            <w14:solidFill>
              <w14:schemeClr w14:val="tx1"/>
            </w14:solidFill>
          </w14:textFill>
        </w:rPr>
        <w:t>附件</w:t>
      </w:r>
      <w:r>
        <w:rPr>
          <w:rFonts w:hint="eastAsia" w:ascii="Times New Roman" w:hAnsi="Times New Roman" w:eastAsia="仿宋" w:cs="Times New Roman"/>
          <w:b w:val="0"/>
          <w:bCs w:val="0"/>
          <w:color w:val="000000" w:themeColor="text1"/>
          <w:sz w:val="24"/>
          <w:szCs w:val="24"/>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sz w:val="24"/>
          <w:szCs w:val="24"/>
          <w14:textFill>
            <w14:solidFill>
              <w14:schemeClr w14:val="tx1"/>
            </w14:solidFill>
          </w14:textFill>
        </w:rPr>
        <w:t>-</w:t>
      </w:r>
      <w:r>
        <w:rPr>
          <w:rFonts w:hint="eastAsia" w:ascii="Times New Roman" w:hAnsi="Times New Roman" w:eastAsia="仿宋" w:cs="Times New Roman"/>
          <w:b w:val="0"/>
          <w:bCs w:val="0"/>
          <w:color w:val="000000" w:themeColor="text1"/>
          <w:sz w:val="24"/>
          <w:szCs w:val="24"/>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sz w:val="24"/>
          <w:szCs w:val="24"/>
          <w14:textFill>
            <w14:solidFill>
              <w14:schemeClr w14:val="tx1"/>
            </w14:solidFill>
          </w14:textFill>
        </w:rPr>
        <w:t>：</w:t>
      </w:r>
      <w:r>
        <w:rPr>
          <w:rFonts w:hint="eastAsia" w:ascii="Times New Roman" w:hAnsi="Times New Roman" w:eastAsia="仿宋" w:cs="Times New Roman"/>
          <w:color w:val="000000" w:themeColor="text1"/>
          <w:sz w:val="24"/>
          <w:szCs w:val="24"/>
          <w:lang w:eastAsia="zh-CN"/>
          <w14:textFill>
            <w14:solidFill>
              <w14:schemeClr w14:val="tx1"/>
            </w14:solidFill>
          </w14:textFill>
        </w:rPr>
        <w:t>武夷学院虚拟仿真实验项目建设立项申报书</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rPr>
          <w:rFonts w:hint="default" w:ascii="Times New Roman" w:hAnsi="Times New Roman" w:eastAsia="仿宋" w:cs="Times New Roman"/>
          <w:b/>
          <w:bCs/>
          <w:color w:val="000000" w:themeColor="text1"/>
          <w:sz w:val="24"/>
          <w:szCs w:val="24"/>
          <w14:textFill>
            <w14:solidFill>
              <w14:schemeClr w14:val="tx1"/>
            </w14:solidFill>
          </w14:textFill>
        </w:rPr>
      </w:pPr>
      <w:r>
        <w:rPr>
          <w:rFonts w:hint="default" w:ascii="Times New Roman" w:hAnsi="Times New Roman" w:eastAsia="仿宋" w:cs="Times New Roman"/>
          <w:b w:val="0"/>
          <w:bCs w:val="0"/>
          <w:color w:val="000000" w:themeColor="text1"/>
          <w:sz w:val="24"/>
          <w:szCs w:val="24"/>
          <w14:textFill>
            <w14:solidFill>
              <w14:schemeClr w14:val="tx1"/>
            </w14:solidFill>
          </w14:textFill>
        </w:rPr>
        <w:t>附件</w:t>
      </w:r>
      <w:r>
        <w:rPr>
          <w:rFonts w:hint="eastAsia" w:ascii="Times New Roman" w:hAnsi="Times New Roman" w:eastAsia="仿宋" w:cs="Times New Roman"/>
          <w:b w:val="0"/>
          <w:bCs w:val="0"/>
          <w:color w:val="000000" w:themeColor="text1"/>
          <w:sz w:val="24"/>
          <w:szCs w:val="24"/>
          <w:lang w:val="en-US" w:eastAsia="zh-CN"/>
          <w14:textFill>
            <w14:solidFill>
              <w14:schemeClr w14:val="tx1"/>
            </w14:solidFill>
          </w14:textFill>
        </w:rPr>
        <w:t>3</w:t>
      </w:r>
      <w:r>
        <w:rPr>
          <w:rFonts w:hint="default" w:ascii="Times New Roman" w:hAnsi="Times New Roman" w:eastAsia="仿宋" w:cs="Times New Roman"/>
          <w:b w:val="0"/>
          <w:bCs w:val="0"/>
          <w:color w:val="000000" w:themeColor="text1"/>
          <w:sz w:val="24"/>
          <w:szCs w:val="24"/>
          <w14:textFill>
            <w14:solidFill>
              <w14:schemeClr w14:val="tx1"/>
            </w14:solidFill>
          </w14:textFill>
        </w:rPr>
        <w:t>-</w:t>
      </w:r>
      <w:r>
        <w:rPr>
          <w:rFonts w:hint="eastAsia" w:ascii="Times New Roman" w:hAnsi="Times New Roman" w:eastAsia="仿宋" w:cs="Times New Roman"/>
          <w:b w:val="0"/>
          <w:bCs w:val="0"/>
          <w:color w:val="000000" w:themeColor="text1"/>
          <w:sz w:val="24"/>
          <w:szCs w:val="24"/>
          <w:lang w:val="en-US" w:eastAsia="zh-CN"/>
          <w14:textFill>
            <w14:solidFill>
              <w14:schemeClr w14:val="tx1"/>
            </w14:solidFill>
          </w14:textFill>
        </w:rPr>
        <w:t>4</w:t>
      </w:r>
      <w:r>
        <w:rPr>
          <w:rFonts w:hint="default" w:ascii="Times New Roman" w:hAnsi="Times New Roman" w:eastAsia="仿宋" w:cs="Times New Roman"/>
          <w:b w:val="0"/>
          <w:bCs w:val="0"/>
          <w:color w:val="000000" w:themeColor="text1"/>
          <w:sz w:val="24"/>
          <w:szCs w:val="24"/>
          <w14:textFill>
            <w14:solidFill>
              <w14:schemeClr w14:val="tx1"/>
            </w14:solidFill>
          </w14:textFill>
        </w:rPr>
        <w:t>：</w:t>
      </w:r>
      <w:r>
        <w:rPr>
          <w:rFonts w:hint="eastAsia" w:ascii="Times New Roman" w:hAnsi="Times New Roman" w:eastAsia="仿宋" w:cs="Times New Roman"/>
          <w:color w:val="000000" w:themeColor="text1"/>
          <w:sz w:val="24"/>
          <w:szCs w:val="24"/>
          <w:lang w:eastAsia="zh-CN"/>
          <w14:textFill>
            <w14:solidFill>
              <w14:schemeClr w14:val="tx1"/>
            </w14:solidFill>
          </w14:textFill>
        </w:rPr>
        <w:t>武夷学院社会实践一流课程建设立项申报书</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rPr>
          <w:rFonts w:hint="eastAsia"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附件</w:t>
      </w:r>
      <w:r>
        <w:rPr>
          <w:rFonts w:hint="eastAsia" w:ascii="Times New Roman" w:hAnsi="Times New Roman" w:eastAsia="仿宋" w:cs="Times New Roman"/>
          <w:color w:val="000000" w:themeColor="text1"/>
          <w:sz w:val="24"/>
          <w:szCs w:val="24"/>
          <w:lang w:val="en-US" w:eastAsia="zh-CN"/>
          <w14:textFill>
            <w14:solidFill>
              <w14:schemeClr w14:val="tx1"/>
            </w14:solidFill>
          </w14:textFill>
        </w:rPr>
        <w:t>4</w:t>
      </w:r>
      <w:r>
        <w:rPr>
          <w:rFonts w:hint="default" w:ascii="Times New Roman" w:hAnsi="Times New Roman" w:eastAsia="仿宋" w:cs="Times New Roman"/>
          <w:color w:val="000000" w:themeColor="text1"/>
          <w:sz w:val="24"/>
          <w:szCs w:val="24"/>
          <w14:textFill>
            <w14:solidFill>
              <w14:schemeClr w14:val="tx1"/>
            </w14:solidFill>
          </w14:textFill>
        </w:rPr>
        <w:t>：</w:t>
      </w:r>
      <w:r>
        <w:rPr>
          <w:rFonts w:hint="eastAsia" w:ascii="Times New Roman" w:hAnsi="Times New Roman" w:eastAsia="仿宋" w:cs="Times New Roman"/>
          <w:color w:val="000000" w:themeColor="text1"/>
          <w:sz w:val="24"/>
          <w:szCs w:val="24"/>
          <w:lang w:eastAsia="zh-CN"/>
          <w14:textFill>
            <w14:solidFill>
              <w14:schemeClr w14:val="tx1"/>
            </w14:solidFill>
          </w14:textFill>
        </w:rPr>
        <w:t>武夷学院课程知识图谱建设立项申报书</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rPr>
          <w:rFonts w:hint="default" w:ascii="Times New Roman" w:hAnsi="Times New Roman" w:eastAsia="仿宋" w:cs="Times New Roman"/>
          <w:b w:val="0"/>
          <w:bCs w:val="0"/>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附件</w:t>
      </w:r>
      <w:r>
        <w:rPr>
          <w:rFonts w:hint="eastAsia" w:ascii="Times New Roman" w:hAnsi="Times New Roman" w:eastAsia="仿宋" w:cs="Times New Roman"/>
          <w:color w:val="000000" w:themeColor="text1"/>
          <w:sz w:val="24"/>
          <w:szCs w:val="24"/>
          <w:lang w:val="en-US" w:eastAsia="zh-CN"/>
          <w14:textFill>
            <w14:solidFill>
              <w14:schemeClr w14:val="tx1"/>
            </w14:solidFill>
          </w14:textFill>
        </w:rPr>
        <w:t>5</w:t>
      </w:r>
      <w:r>
        <w:rPr>
          <w:rFonts w:hint="default" w:ascii="Times New Roman" w:hAnsi="Times New Roman" w:eastAsia="仿宋" w:cs="Times New Roman"/>
          <w:color w:val="000000" w:themeColor="text1"/>
          <w:sz w:val="24"/>
          <w:szCs w:val="24"/>
          <w14:textFill>
            <w14:solidFill>
              <w14:schemeClr w14:val="tx1"/>
            </w14:solidFill>
          </w14:textFill>
        </w:rPr>
        <w:t>：</w:t>
      </w:r>
      <w:r>
        <w:rPr>
          <w:rFonts w:hint="default" w:ascii="Times New Roman" w:hAnsi="Times New Roman" w:eastAsia="仿宋" w:cs="Times New Roman"/>
          <w:b w:val="0"/>
          <w:bCs w:val="0"/>
          <w:color w:val="000000" w:themeColor="text1"/>
          <w:sz w:val="24"/>
          <w:szCs w:val="24"/>
          <w14:textFill>
            <w14:solidFill>
              <w14:schemeClr w14:val="tx1"/>
            </w14:solidFill>
          </w14:textFill>
        </w:rPr>
        <w:t>武夷学院新形态教材建设</w:t>
      </w:r>
      <w:r>
        <w:rPr>
          <w:rFonts w:hint="eastAsia" w:ascii="Times New Roman" w:hAnsi="Times New Roman" w:eastAsia="仿宋" w:cs="Times New Roman"/>
          <w:b w:val="0"/>
          <w:bCs w:val="0"/>
          <w:color w:val="000000" w:themeColor="text1"/>
          <w:sz w:val="24"/>
          <w:szCs w:val="24"/>
          <w:lang w:eastAsia="zh-CN"/>
          <w14:textFill>
            <w14:solidFill>
              <w14:schemeClr w14:val="tx1"/>
            </w14:solidFill>
          </w14:textFill>
        </w:rPr>
        <w:t>立项</w:t>
      </w:r>
      <w:r>
        <w:rPr>
          <w:rFonts w:hint="default" w:ascii="Times New Roman" w:hAnsi="Times New Roman" w:eastAsia="仿宋" w:cs="Times New Roman"/>
          <w:b w:val="0"/>
          <w:bCs w:val="0"/>
          <w:color w:val="000000" w:themeColor="text1"/>
          <w:sz w:val="24"/>
          <w:szCs w:val="24"/>
          <w14:textFill>
            <w14:solidFill>
              <w14:schemeClr w14:val="tx1"/>
            </w14:solidFill>
          </w14:textFill>
        </w:rPr>
        <w:t>申报书</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rPr>
          <w:rFonts w:hint="default" w:ascii="Times New Roman" w:hAnsi="Times New Roman" w:eastAsia="仿宋" w:cs="Times New Roman"/>
          <w:b w:val="0"/>
          <w:bCs w:val="0"/>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附件</w:t>
      </w:r>
      <w:r>
        <w:rPr>
          <w:rFonts w:hint="eastAsia" w:ascii="Times New Roman" w:hAnsi="Times New Roman" w:eastAsia="仿宋" w:cs="Times New Roman"/>
          <w:color w:val="000000" w:themeColor="text1"/>
          <w:sz w:val="24"/>
          <w:szCs w:val="24"/>
          <w:lang w:val="en-US" w:eastAsia="zh-CN"/>
          <w14:textFill>
            <w14:solidFill>
              <w14:schemeClr w14:val="tx1"/>
            </w14:solidFill>
          </w14:textFill>
        </w:rPr>
        <w:t>6</w:t>
      </w:r>
      <w:r>
        <w:rPr>
          <w:rFonts w:hint="default" w:ascii="Times New Roman" w:hAnsi="Times New Roman" w:eastAsia="仿宋" w:cs="Times New Roman"/>
          <w:color w:val="000000" w:themeColor="text1"/>
          <w:sz w:val="24"/>
          <w:szCs w:val="24"/>
          <w14:textFill>
            <w14:solidFill>
              <w14:schemeClr w14:val="tx1"/>
            </w14:solidFill>
          </w14:textFill>
        </w:rPr>
        <w:t>：</w:t>
      </w:r>
      <w:r>
        <w:rPr>
          <w:rFonts w:hint="eastAsia" w:ascii="Times New Roman" w:hAnsi="Times New Roman" w:eastAsia="仿宋" w:cs="Times New Roman"/>
          <w:color w:val="000000" w:themeColor="text1"/>
          <w:sz w:val="24"/>
          <w:szCs w:val="24"/>
          <w:lang w:eastAsia="zh-CN"/>
          <w14:textFill>
            <w14:solidFill>
              <w14:schemeClr w14:val="tx1"/>
            </w14:solidFill>
          </w14:textFill>
        </w:rPr>
        <w:t>武夷学院“三创”教育示范课程立项申报书</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rPr>
          <w:rFonts w:hint="eastAsia"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附件</w:t>
      </w:r>
      <w:r>
        <w:rPr>
          <w:rFonts w:hint="eastAsia" w:ascii="Times New Roman" w:hAnsi="Times New Roman" w:eastAsia="仿宋" w:cs="Times New Roman"/>
          <w:color w:val="000000" w:themeColor="text1"/>
          <w:sz w:val="24"/>
          <w:szCs w:val="24"/>
          <w:lang w:val="en-US" w:eastAsia="zh-CN"/>
          <w14:textFill>
            <w14:solidFill>
              <w14:schemeClr w14:val="tx1"/>
            </w14:solidFill>
          </w14:textFill>
        </w:rPr>
        <w:t>7</w:t>
      </w:r>
      <w:r>
        <w:rPr>
          <w:rFonts w:hint="default" w:ascii="Times New Roman" w:hAnsi="Times New Roman" w:eastAsia="仿宋" w:cs="Times New Roman"/>
          <w:color w:val="000000" w:themeColor="text1"/>
          <w:sz w:val="24"/>
          <w:szCs w:val="24"/>
          <w14:textFill>
            <w14:solidFill>
              <w14:schemeClr w14:val="tx1"/>
            </w14:solidFill>
          </w14:textFill>
        </w:rPr>
        <w:t>：</w:t>
      </w:r>
      <w:r>
        <w:rPr>
          <w:rFonts w:hint="eastAsia" w:ascii="Times New Roman" w:hAnsi="Times New Roman" w:eastAsia="仿宋" w:cs="Times New Roman"/>
          <w:color w:val="000000" w:themeColor="text1"/>
          <w:sz w:val="24"/>
          <w:szCs w:val="24"/>
          <w:lang w:eastAsia="zh-CN"/>
          <w14:textFill>
            <w14:solidFill>
              <w14:schemeClr w14:val="tx1"/>
            </w14:solidFill>
          </w14:textFill>
        </w:rPr>
        <w:t>武夷学院校企共建课程立项申报书</w:t>
      </w:r>
    </w:p>
    <w:p>
      <w:pPr>
        <w:pStyle w:val="7"/>
        <w:keepNext w:val="0"/>
        <w:keepLines w:val="0"/>
        <w:pageBreakBefore w:val="0"/>
        <w:widowControl/>
        <w:suppressLineNumbers w:val="0"/>
        <w:shd w:val="clear" w:color="auto"/>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rPr>
          <w:rFonts w:hint="default" w:ascii="Times New Roman" w:hAnsi="Times New Roman" w:eastAsia="仿宋" w:cs="Times New Roman"/>
          <w:b w:val="0"/>
          <w:bCs w:val="0"/>
          <w:color w:val="000000" w:themeColor="text1"/>
          <w:sz w:val="24"/>
          <w:szCs w:val="24"/>
          <w14:textFill>
            <w14:solidFill>
              <w14:schemeClr w14:val="tx1"/>
            </w14:solidFill>
          </w14:textFill>
        </w:rPr>
      </w:pPr>
      <w:r>
        <w:rPr>
          <w:rFonts w:hint="default" w:ascii="Times New Roman" w:hAnsi="Times New Roman" w:eastAsia="仿宋" w:cs="Times New Roman"/>
          <w:b w:val="0"/>
          <w:bCs w:val="0"/>
          <w:color w:val="000000" w:themeColor="text1"/>
          <w:sz w:val="24"/>
          <w:szCs w:val="24"/>
          <w14:textFill>
            <w14:solidFill>
              <w14:schemeClr w14:val="tx1"/>
            </w14:solidFill>
          </w14:textFill>
        </w:rPr>
        <w:t>附件</w:t>
      </w:r>
      <w:r>
        <w:rPr>
          <w:rFonts w:hint="eastAsia" w:ascii="Times New Roman" w:hAnsi="Times New Roman" w:eastAsia="仿宋" w:cs="Times New Roman"/>
          <w:b w:val="0"/>
          <w:bCs w:val="0"/>
          <w:color w:val="000000" w:themeColor="text1"/>
          <w:sz w:val="24"/>
          <w:szCs w:val="24"/>
          <w:lang w:val="en-US" w:eastAsia="zh-CN"/>
          <w14:textFill>
            <w14:solidFill>
              <w14:schemeClr w14:val="tx1"/>
            </w14:solidFill>
          </w14:textFill>
        </w:rPr>
        <w:t>8</w:t>
      </w:r>
      <w:r>
        <w:rPr>
          <w:rFonts w:hint="default" w:ascii="Times New Roman" w:hAnsi="Times New Roman" w:eastAsia="仿宋" w:cs="Times New Roman"/>
          <w:b w:val="0"/>
          <w:bCs w:val="0"/>
          <w:color w:val="000000" w:themeColor="text1"/>
          <w:sz w:val="24"/>
          <w:szCs w:val="24"/>
          <w14:textFill>
            <w14:solidFill>
              <w14:schemeClr w14:val="tx1"/>
            </w14:solidFill>
          </w14:textFill>
        </w:rPr>
        <w:t>：武夷学院</w:t>
      </w:r>
      <w:r>
        <w:rPr>
          <w:rFonts w:hint="eastAsia" w:ascii="Times New Roman" w:hAnsi="Times New Roman" w:eastAsia="仿宋" w:cs="Times New Roman"/>
          <w:b w:val="0"/>
          <w:bCs w:val="0"/>
          <w:color w:val="000000" w:themeColor="text1"/>
          <w:sz w:val="24"/>
          <w:szCs w:val="24"/>
          <w:lang w:eastAsia="zh-CN"/>
          <w14:textFill>
            <w14:solidFill>
              <w14:schemeClr w14:val="tx1"/>
            </w14:solidFill>
          </w14:textFill>
        </w:rPr>
        <w:t>产教融合</w:t>
      </w:r>
      <w:r>
        <w:rPr>
          <w:rFonts w:hint="default" w:ascii="Times New Roman" w:hAnsi="Times New Roman" w:eastAsia="仿宋" w:cs="Times New Roman"/>
          <w:b w:val="0"/>
          <w:bCs w:val="0"/>
          <w:color w:val="000000" w:themeColor="text1"/>
          <w:sz w:val="24"/>
          <w:szCs w:val="24"/>
          <w14:textFill>
            <w14:solidFill>
              <w14:schemeClr w14:val="tx1"/>
            </w14:solidFill>
          </w14:textFill>
        </w:rPr>
        <w:t>实践基地</w:t>
      </w:r>
      <w:r>
        <w:rPr>
          <w:rFonts w:hint="eastAsia" w:ascii="Times New Roman" w:hAnsi="Times New Roman" w:eastAsia="仿宋" w:cs="Times New Roman"/>
          <w:b w:val="0"/>
          <w:bCs w:val="0"/>
          <w:color w:val="000000" w:themeColor="text1"/>
          <w:sz w:val="24"/>
          <w:szCs w:val="24"/>
          <w:lang w:eastAsia="zh-CN"/>
          <w14:textFill>
            <w14:solidFill>
              <w14:schemeClr w14:val="tx1"/>
            </w14:solidFill>
          </w14:textFill>
        </w:rPr>
        <w:t>立项</w:t>
      </w:r>
      <w:r>
        <w:rPr>
          <w:rFonts w:hint="default" w:ascii="Times New Roman" w:hAnsi="Times New Roman" w:eastAsia="仿宋" w:cs="Times New Roman"/>
          <w:b w:val="0"/>
          <w:bCs w:val="0"/>
          <w:color w:val="000000" w:themeColor="text1"/>
          <w:sz w:val="24"/>
          <w:szCs w:val="24"/>
          <w14:textFill>
            <w14:solidFill>
              <w14:schemeClr w14:val="tx1"/>
            </w14:solidFill>
          </w14:textFill>
        </w:rPr>
        <w:t>申报书</w:t>
      </w:r>
    </w:p>
    <w:p>
      <w:pPr>
        <w:keepNext w:val="0"/>
        <w:keepLines w:val="0"/>
        <w:pageBreakBefore w:val="0"/>
        <w:shd w:val="clear"/>
        <w:kinsoku/>
        <w:wordWrap/>
        <w:overflowPunct/>
        <w:topLinePunct w:val="0"/>
        <w:autoSpaceDE/>
        <w:autoSpaceDN/>
        <w:bidi w:val="0"/>
        <w:adjustRightInd/>
        <w:snapToGrid/>
        <w:spacing w:line="480" w:lineRule="exact"/>
        <w:ind w:firstLine="640" w:firstLineChars="200"/>
        <w:jc w:val="both"/>
        <w:textAlignment w:val="auto"/>
        <w:rPr>
          <w:rFonts w:hint="default" w:ascii="Times New Roman" w:hAnsi="Times New Roman" w:eastAsia="仿宋" w:cs="Times New Roman"/>
          <w:color w:val="000000" w:themeColor="text1"/>
          <w:sz w:val="32"/>
          <w:szCs w:val="32"/>
          <w14:textFill>
            <w14:solidFill>
              <w14:schemeClr w14:val="tx1"/>
            </w14:solidFill>
          </w14:textFill>
        </w:rPr>
      </w:pPr>
      <w:r>
        <w:rPr>
          <w:rFonts w:hint="default" w:ascii="Times New Roman" w:hAnsi="Times New Roman" w:eastAsia="仿宋" w:cs="Times New Roman"/>
          <w:color w:val="000000" w:themeColor="text1"/>
          <w:sz w:val="32"/>
          <w:szCs w:val="32"/>
          <w14:textFill>
            <w14:solidFill>
              <w14:schemeClr w14:val="tx1"/>
            </w14:solidFill>
          </w14:textFill>
        </w:rPr>
        <w:t xml:space="preserve">                               </w:t>
      </w:r>
    </w:p>
    <w:p>
      <w:pPr>
        <w:keepNext w:val="0"/>
        <w:keepLines w:val="0"/>
        <w:pageBreakBefore w:val="0"/>
        <w:shd w:val="clear"/>
        <w:kinsoku/>
        <w:wordWrap/>
        <w:overflowPunct/>
        <w:topLinePunct w:val="0"/>
        <w:autoSpaceDE/>
        <w:autoSpaceDN/>
        <w:bidi w:val="0"/>
        <w:adjustRightInd/>
        <w:snapToGrid/>
        <w:spacing w:line="480" w:lineRule="exact"/>
        <w:ind w:firstLine="5760" w:firstLineChars="1800"/>
        <w:jc w:val="both"/>
        <w:textAlignment w:val="auto"/>
        <w:rPr>
          <w:rFonts w:hint="default" w:ascii="Times New Roman" w:hAnsi="Times New Roman" w:eastAsia="仿宋" w:cs="Times New Roman"/>
          <w:color w:val="000000" w:themeColor="text1"/>
          <w:sz w:val="32"/>
          <w:szCs w:val="32"/>
          <w:lang w:eastAsia="zh-CN"/>
          <w14:textFill>
            <w14:solidFill>
              <w14:schemeClr w14:val="tx1"/>
            </w14:solidFill>
          </w14:textFill>
        </w:rPr>
      </w:pPr>
      <w:r>
        <w:rPr>
          <w:rFonts w:hint="default" w:ascii="Times New Roman" w:hAnsi="Times New Roman" w:eastAsia="仿宋" w:cs="Times New Roman"/>
          <w:color w:val="000000" w:themeColor="text1"/>
          <w:sz w:val="32"/>
          <w:szCs w:val="32"/>
          <w14:textFill>
            <w14:solidFill>
              <w14:schemeClr w14:val="tx1"/>
            </w14:solidFill>
          </w14:textFill>
        </w:rPr>
        <w:t xml:space="preserve"> 武夷学院</w:t>
      </w:r>
      <w:r>
        <w:rPr>
          <w:rFonts w:hint="default" w:ascii="Times New Roman" w:hAnsi="Times New Roman" w:eastAsia="仿宋" w:cs="Times New Roman"/>
          <w:color w:val="000000" w:themeColor="text1"/>
          <w:sz w:val="32"/>
          <w:szCs w:val="32"/>
          <w:lang w:eastAsia="zh-CN"/>
          <w14:textFill>
            <w14:solidFill>
              <w14:schemeClr w14:val="tx1"/>
            </w14:solidFill>
          </w14:textFill>
        </w:rPr>
        <w:t>教务处</w:t>
      </w:r>
    </w:p>
    <w:p>
      <w:pPr>
        <w:keepNext w:val="0"/>
        <w:keepLines w:val="0"/>
        <w:pageBreakBefore w:val="0"/>
        <w:shd w:val="clear"/>
        <w:kinsoku/>
        <w:wordWrap/>
        <w:overflowPunct/>
        <w:topLinePunct w:val="0"/>
        <w:autoSpaceDE/>
        <w:autoSpaceDN/>
        <w:bidi w:val="0"/>
        <w:adjustRightInd/>
        <w:snapToGrid/>
        <w:spacing w:line="480" w:lineRule="exact"/>
        <w:ind w:firstLine="640" w:firstLineChars="200"/>
        <w:jc w:val="both"/>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仿宋" w:cs="Times New Roman"/>
          <w:color w:val="000000" w:themeColor="text1"/>
          <w:sz w:val="32"/>
          <w:szCs w:val="32"/>
          <w14:textFill>
            <w14:solidFill>
              <w14:schemeClr w14:val="tx1"/>
            </w14:solidFill>
          </w14:textFill>
        </w:rPr>
        <w:t>　　　　　　　　　　　　　　  　20</w:t>
      </w:r>
      <w:r>
        <w:rPr>
          <w:rFonts w:hint="default" w:ascii="Times New Roman" w:hAnsi="Times New Roman" w:eastAsia="仿宋" w:cs="Times New Roman"/>
          <w:color w:val="000000" w:themeColor="text1"/>
          <w:sz w:val="32"/>
          <w:szCs w:val="32"/>
          <w:lang w:val="en-US" w:eastAsia="zh-CN"/>
          <w14:textFill>
            <w14:solidFill>
              <w14:schemeClr w14:val="tx1"/>
            </w14:solidFill>
          </w14:textFill>
        </w:rPr>
        <w:t>2</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4</w:t>
      </w:r>
      <w:r>
        <w:rPr>
          <w:rFonts w:hint="default" w:ascii="Times New Roman" w:hAnsi="Times New Roman" w:eastAsia="仿宋" w:cs="Times New Roman"/>
          <w:color w:val="000000" w:themeColor="text1"/>
          <w:sz w:val="32"/>
          <w:szCs w:val="32"/>
          <w14:textFill>
            <w14:solidFill>
              <w14:schemeClr w14:val="tx1"/>
            </w14:solidFill>
          </w14:textFill>
        </w:rPr>
        <w:t>年</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3</w:t>
      </w:r>
      <w:r>
        <w:rPr>
          <w:rFonts w:hint="default" w:ascii="Times New Roman" w:hAnsi="Times New Roman" w:eastAsia="仿宋" w:cs="Times New Roman"/>
          <w:color w:val="000000" w:themeColor="text1"/>
          <w:sz w:val="32"/>
          <w:szCs w:val="32"/>
          <w14:textFill>
            <w14:solidFill>
              <w14:schemeClr w14:val="tx1"/>
            </w14:solidFill>
          </w14:textFill>
        </w:rPr>
        <w:t>月</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29</w:t>
      </w:r>
      <w:r>
        <w:rPr>
          <w:rFonts w:hint="default" w:ascii="Times New Roman" w:hAnsi="Times New Roman" w:eastAsia="仿宋" w:cs="Times New Roman"/>
          <w:color w:val="000000" w:themeColor="text1"/>
          <w:sz w:val="32"/>
          <w:szCs w:val="32"/>
          <w14:textFill>
            <w14:solidFill>
              <w14:schemeClr w14:val="tx1"/>
            </w14:solidFill>
          </w14:textFill>
        </w:rPr>
        <w:t>日</w:t>
      </w:r>
    </w:p>
    <w:sectPr>
      <w:footerReference r:id="rId3" w:type="default"/>
      <w:pgSz w:w="11906" w:h="16838"/>
      <w:pgMar w:top="1134"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3NmU5YmE2YmFhOWNlOTA0ZjI5MTA3ZDlkMWNmYWYifQ=="/>
  </w:docVars>
  <w:rsids>
    <w:rsidRoot w:val="491902BF"/>
    <w:rsid w:val="00073ACB"/>
    <w:rsid w:val="00115C78"/>
    <w:rsid w:val="00227C08"/>
    <w:rsid w:val="007E6F86"/>
    <w:rsid w:val="008409A6"/>
    <w:rsid w:val="008D4D78"/>
    <w:rsid w:val="00D36FC1"/>
    <w:rsid w:val="015E76AB"/>
    <w:rsid w:val="018C249D"/>
    <w:rsid w:val="01A37C36"/>
    <w:rsid w:val="01F21292"/>
    <w:rsid w:val="02195111"/>
    <w:rsid w:val="026864FB"/>
    <w:rsid w:val="02D04669"/>
    <w:rsid w:val="02EE59E6"/>
    <w:rsid w:val="030E1627"/>
    <w:rsid w:val="03151A07"/>
    <w:rsid w:val="037C3499"/>
    <w:rsid w:val="03AD4CF8"/>
    <w:rsid w:val="042042C5"/>
    <w:rsid w:val="04264057"/>
    <w:rsid w:val="043333E8"/>
    <w:rsid w:val="04904FD6"/>
    <w:rsid w:val="04A96775"/>
    <w:rsid w:val="04DB4B28"/>
    <w:rsid w:val="04FE37B8"/>
    <w:rsid w:val="05640892"/>
    <w:rsid w:val="06264E07"/>
    <w:rsid w:val="068956D9"/>
    <w:rsid w:val="06DC70AA"/>
    <w:rsid w:val="07350677"/>
    <w:rsid w:val="076273B2"/>
    <w:rsid w:val="084E0ECB"/>
    <w:rsid w:val="08AD3B95"/>
    <w:rsid w:val="08C55C13"/>
    <w:rsid w:val="08E92ED7"/>
    <w:rsid w:val="09311977"/>
    <w:rsid w:val="095E3D19"/>
    <w:rsid w:val="0986589B"/>
    <w:rsid w:val="09D23783"/>
    <w:rsid w:val="0A21591F"/>
    <w:rsid w:val="0AC459AA"/>
    <w:rsid w:val="0B540D9F"/>
    <w:rsid w:val="0B5E74DA"/>
    <w:rsid w:val="0BCB71EF"/>
    <w:rsid w:val="0BF64821"/>
    <w:rsid w:val="0C4D4714"/>
    <w:rsid w:val="0C9413AC"/>
    <w:rsid w:val="0CA44089"/>
    <w:rsid w:val="0CC4083F"/>
    <w:rsid w:val="0D1211CC"/>
    <w:rsid w:val="0D2D6136"/>
    <w:rsid w:val="0D350DE1"/>
    <w:rsid w:val="0D5D46C8"/>
    <w:rsid w:val="0DB8455B"/>
    <w:rsid w:val="0DC30301"/>
    <w:rsid w:val="0DDF0D4D"/>
    <w:rsid w:val="0DE87A5B"/>
    <w:rsid w:val="0EB34AD4"/>
    <w:rsid w:val="0EE52393"/>
    <w:rsid w:val="0EE82322"/>
    <w:rsid w:val="0F4A3109"/>
    <w:rsid w:val="0F817453"/>
    <w:rsid w:val="0FA85BE4"/>
    <w:rsid w:val="101B2705"/>
    <w:rsid w:val="101F181A"/>
    <w:rsid w:val="10722E94"/>
    <w:rsid w:val="1076333A"/>
    <w:rsid w:val="10B57F2B"/>
    <w:rsid w:val="114A20A1"/>
    <w:rsid w:val="115D5667"/>
    <w:rsid w:val="116B3023"/>
    <w:rsid w:val="11907886"/>
    <w:rsid w:val="11AE6D0E"/>
    <w:rsid w:val="11C86FDA"/>
    <w:rsid w:val="121641AC"/>
    <w:rsid w:val="123E7F36"/>
    <w:rsid w:val="126C7921"/>
    <w:rsid w:val="129E3C97"/>
    <w:rsid w:val="12D4608D"/>
    <w:rsid w:val="12ED3F6C"/>
    <w:rsid w:val="13280895"/>
    <w:rsid w:val="133414D9"/>
    <w:rsid w:val="137A7D51"/>
    <w:rsid w:val="138E35EA"/>
    <w:rsid w:val="1395502D"/>
    <w:rsid w:val="13B31849"/>
    <w:rsid w:val="13BD568C"/>
    <w:rsid w:val="13E01EBD"/>
    <w:rsid w:val="13EA08FC"/>
    <w:rsid w:val="13F85FBC"/>
    <w:rsid w:val="14563F45"/>
    <w:rsid w:val="14E338A7"/>
    <w:rsid w:val="152C0D1B"/>
    <w:rsid w:val="153B506A"/>
    <w:rsid w:val="15AD0685"/>
    <w:rsid w:val="15D60166"/>
    <w:rsid w:val="15EB299E"/>
    <w:rsid w:val="15F21DF5"/>
    <w:rsid w:val="16774343"/>
    <w:rsid w:val="16E509B8"/>
    <w:rsid w:val="16FD4B79"/>
    <w:rsid w:val="171F7858"/>
    <w:rsid w:val="17375756"/>
    <w:rsid w:val="17402E98"/>
    <w:rsid w:val="177B1AE6"/>
    <w:rsid w:val="17F06F93"/>
    <w:rsid w:val="17FB1E3C"/>
    <w:rsid w:val="181A358A"/>
    <w:rsid w:val="185D6550"/>
    <w:rsid w:val="18744D54"/>
    <w:rsid w:val="18911C52"/>
    <w:rsid w:val="18C4244E"/>
    <w:rsid w:val="18DB7733"/>
    <w:rsid w:val="18F62072"/>
    <w:rsid w:val="192C2713"/>
    <w:rsid w:val="194E2378"/>
    <w:rsid w:val="19882298"/>
    <w:rsid w:val="1990650C"/>
    <w:rsid w:val="1A595BC9"/>
    <w:rsid w:val="1B0F7054"/>
    <w:rsid w:val="1B921E5D"/>
    <w:rsid w:val="1BA4752B"/>
    <w:rsid w:val="1BB330A2"/>
    <w:rsid w:val="1BFF4C5A"/>
    <w:rsid w:val="1C47664D"/>
    <w:rsid w:val="1C7F7D0F"/>
    <w:rsid w:val="1CB03FE0"/>
    <w:rsid w:val="1D3D0FE2"/>
    <w:rsid w:val="1D5C527E"/>
    <w:rsid w:val="1D643869"/>
    <w:rsid w:val="1D9531D6"/>
    <w:rsid w:val="1DDB5524"/>
    <w:rsid w:val="1DE06B47"/>
    <w:rsid w:val="1DE55F0B"/>
    <w:rsid w:val="1E0A001A"/>
    <w:rsid w:val="1E763007"/>
    <w:rsid w:val="1E7939A2"/>
    <w:rsid w:val="1EB639CC"/>
    <w:rsid w:val="1ECC0B7A"/>
    <w:rsid w:val="1FC621AE"/>
    <w:rsid w:val="1FE04848"/>
    <w:rsid w:val="1FF24466"/>
    <w:rsid w:val="20543B13"/>
    <w:rsid w:val="20606403"/>
    <w:rsid w:val="20EE1117"/>
    <w:rsid w:val="21556E71"/>
    <w:rsid w:val="220E4955"/>
    <w:rsid w:val="230706D2"/>
    <w:rsid w:val="2357275F"/>
    <w:rsid w:val="235F6EB5"/>
    <w:rsid w:val="23895DBB"/>
    <w:rsid w:val="23E40A13"/>
    <w:rsid w:val="24233355"/>
    <w:rsid w:val="2481372D"/>
    <w:rsid w:val="24CA7BB8"/>
    <w:rsid w:val="24E54C36"/>
    <w:rsid w:val="24F518B6"/>
    <w:rsid w:val="24FB4266"/>
    <w:rsid w:val="251115FC"/>
    <w:rsid w:val="25AA43E2"/>
    <w:rsid w:val="25CD2F00"/>
    <w:rsid w:val="25D73F7C"/>
    <w:rsid w:val="26071BAB"/>
    <w:rsid w:val="2635407F"/>
    <w:rsid w:val="265666CF"/>
    <w:rsid w:val="266D2F42"/>
    <w:rsid w:val="26B91CE3"/>
    <w:rsid w:val="26EF2F1C"/>
    <w:rsid w:val="27063798"/>
    <w:rsid w:val="273852FE"/>
    <w:rsid w:val="274474E4"/>
    <w:rsid w:val="27475541"/>
    <w:rsid w:val="27C25A3A"/>
    <w:rsid w:val="284515B9"/>
    <w:rsid w:val="28654336"/>
    <w:rsid w:val="28A846E0"/>
    <w:rsid w:val="28BB3519"/>
    <w:rsid w:val="293E399E"/>
    <w:rsid w:val="29E15392"/>
    <w:rsid w:val="2A682BCF"/>
    <w:rsid w:val="2A8F7B69"/>
    <w:rsid w:val="2AE83548"/>
    <w:rsid w:val="2B243076"/>
    <w:rsid w:val="2B2F7C0C"/>
    <w:rsid w:val="2BD03FEC"/>
    <w:rsid w:val="2CC80ED2"/>
    <w:rsid w:val="2CF679F6"/>
    <w:rsid w:val="2D03015C"/>
    <w:rsid w:val="2D377E06"/>
    <w:rsid w:val="2D811081"/>
    <w:rsid w:val="2D942EAC"/>
    <w:rsid w:val="2DC31A3D"/>
    <w:rsid w:val="2DD0458B"/>
    <w:rsid w:val="2DE9470A"/>
    <w:rsid w:val="2DEA4E78"/>
    <w:rsid w:val="2E114561"/>
    <w:rsid w:val="2E23083D"/>
    <w:rsid w:val="2E3305CD"/>
    <w:rsid w:val="2E4B5048"/>
    <w:rsid w:val="2E8851D4"/>
    <w:rsid w:val="2EB94C40"/>
    <w:rsid w:val="2EE5276F"/>
    <w:rsid w:val="2F7623E8"/>
    <w:rsid w:val="2F820D4F"/>
    <w:rsid w:val="2F895CE8"/>
    <w:rsid w:val="2FA47E0A"/>
    <w:rsid w:val="30414686"/>
    <w:rsid w:val="3073370F"/>
    <w:rsid w:val="30A4208B"/>
    <w:rsid w:val="30CF3C85"/>
    <w:rsid w:val="30D23689"/>
    <w:rsid w:val="30EF5159"/>
    <w:rsid w:val="30FF6E8C"/>
    <w:rsid w:val="31192B3C"/>
    <w:rsid w:val="31407CBC"/>
    <w:rsid w:val="314222A1"/>
    <w:rsid w:val="315A7D9A"/>
    <w:rsid w:val="315D04A6"/>
    <w:rsid w:val="3166515D"/>
    <w:rsid w:val="3168008F"/>
    <w:rsid w:val="31A25188"/>
    <w:rsid w:val="31CF6097"/>
    <w:rsid w:val="320379BB"/>
    <w:rsid w:val="32140E54"/>
    <w:rsid w:val="322044B5"/>
    <w:rsid w:val="3223349C"/>
    <w:rsid w:val="32692519"/>
    <w:rsid w:val="33082A79"/>
    <w:rsid w:val="33345140"/>
    <w:rsid w:val="33841D8F"/>
    <w:rsid w:val="33AD634D"/>
    <w:rsid w:val="33B425A9"/>
    <w:rsid w:val="33BF4E11"/>
    <w:rsid w:val="33E731B9"/>
    <w:rsid w:val="34025CBB"/>
    <w:rsid w:val="344746D1"/>
    <w:rsid w:val="34A23378"/>
    <w:rsid w:val="34E95524"/>
    <w:rsid w:val="34ED2811"/>
    <w:rsid w:val="34EE34A0"/>
    <w:rsid w:val="34F02446"/>
    <w:rsid w:val="350D21D9"/>
    <w:rsid w:val="35765F6C"/>
    <w:rsid w:val="35C2723D"/>
    <w:rsid w:val="366215F3"/>
    <w:rsid w:val="366D28DC"/>
    <w:rsid w:val="36B4136B"/>
    <w:rsid w:val="37062B1B"/>
    <w:rsid w:val="373650F3"/>
    <w:rsid w:val="37A469CD"/>
    <w:rsid w:val="37CA01F4"/>
    <w:rsid w:val="37E77BC5"/>
    <w:rsid w:val="381274A5"/>
    <w:rsid w:val="38286F61"/>
    <w:rsid w:val="3839363E"/>
    <w:rsid w:val="384E7D53"/>
    <w:rsid w:val="3854678F"/>
    <w:rsid w:val="386133A0"/>
    <w:rsid w:val="386A108F"/>
    <w:rsid w:val="389F7E39"/>
    <w:rsid w:val="38A41FF2"/>
    <w:rsid w:val="38CC58A6"/>
    <w:rsid w:val="38E20C20"/>
    <w:rsid w:val="393F0779"/>
    <w:rsid w:val="399C171C"/>
    <w:rsid w:val="39FB78BF"/>
    <w:rsid w:val="3A2D43ED"/>
    <w:rsid w:val="3A3A72C1"/>
    <w:rsid w:val="3A3E02CE"/>
    <w:rsid w:val="3A7D7E4F"/>
    <w:rsid w:val="3A8B5A23"/>
    <w:rsid w:val="3AC82017"/>
    <w:rsid w:val="3AC95E42"/>
    <w:rsid w:val="3AF64E5C"/>
    <w:rsid w:val="3B030B0F"/>
    <w:rsid w:val="3B2F4AA2"/>
    <w:rsid w:val="3B3F1378"/>
    <w:rsid w:val="3B6B7E2F"/>
    <w:rsid w:val="3B895A8C"/>
    <w:rsid w:val="3BC77ADB"/>
    <w:rsid w:val="3BDF25D5"/>
    <w:rsid w:val="3BFA42F7"/>
    <w:rsid w:val="3C003C3E"/>
    <w:rsid w:val="3C3F0A85"/>
    <w:rsid w:val="3C4007C6"/>
    <w:rsid w:val="3CC16414"/>
    <w:rsid w:val="3D253CD6"/>
    <w:rsid w:val="3D4065D7"/>
    <w:rsid w:val="3D6267D9"/>
    <w:rsid w:val="3D6A48DF"/>
    <w:rsid w:val="3D954E4B"/>
    <w:rsid w:val="3DA608B5"/>
    <w:rsid w:val="3DDD134C"/>
    <w:rsid w:val="3E013C91"/>
    <w:rsid w:val="3E201321"/>
    <w:rsid w:val="3E3A6F92"/>
    <w:rsid w:val="3E6B5B61"/>
    <w:rsid w:val="3EAC3A5B"/>
    <w:rsid w:val="3EBB6DF2"/>
    <w:rsid w:val="3F3C4DFA"/>
    <w:rsid w:val="3F3D67AB"/>
    <w:rsid w:val="3FD04ECF"/>
    <w:rsid w:val="40020D71"/>
    <w:rsid w:val="401A0EEC"/>
    <w:rsid w:val="402D298F"/>
    <w:rsid w:val="4060397D"/>
    <w:rsid w:val="4090156C"/>
    <w:rsid w:val="40D52E0F"/>
    <w:rsid w:val="41065FA0"/>
    <w:rsid w:val="412627D7"/>
    <w:rsid w:val="415E19AD"/>
    <w:rsid w:val="41896A9E"/>
    <w:rsid w:val="41C14660"/>
    <w:rsid w:val="41ED7771"/>
    <w:rsid w:val="42072EE9"/>
    <w:rsid w:val="42126842"/>
    <w:rsid w:val="422E77D5"/>
    <w:rsid w:val="42344C8A"/>
    <w:rsid w:val="423C152B"/>
    <w:rsid w:val="426976B5"/>
    <w:rsid w:val="42A91CE4"/>
    <w:rsid w:val="42C30F63"/>
    <w:rsid w:val="42D452F2"/>
    <w:rsid w:val="42D97F70"/>
    <w:rsid w:val="43C259FE"/>
    <w:rsid w:val="442262D9"/>
    <w:rsid w:val="443447B3"/>
    <w:rsid w:val="446E7BE0"/>
    <w:rsid w:val="44CB62EE"/>
    <w:rsid w:val="44DF1744"/>
    <w:rsid w:val="455A0963"/>
    <w:rsid w:val="45C31610"/>
    <w:rsid w:val="45EF13EA"/>
    <w:rsid w:val="46C062A0"/>
    <w:rsid w:val="47197D62"/>
    <w:rsid w:val="47D82119"/>
    <w:rsid w:val="481377D2"/>
    <w:rsid w:val="481E6D86"/>
    <w:rsid w:val="48471D05"/>
    <w:rsid w:val="485019C3"/>
    <w:rsid w:val="48745BFB"/>
    <w:rsid w:val="48783B10"/>
    <w:rsid w:val="48CD6E00"/>
    <w:rsid w:val="48DC7D87"/>
    <w:rsid w:val="491548C5"/>
    <w:rsid w:val="491902BF"/>
    <w:rsid w:val="491C0184"/>
    <w:rsid w:val="49221512"/>
    <w:rsid w:val="492265CB"/>
    <w:rsid w:val="495E12DA"/>
    <w:rsid w:val="49855267"/>
    <w:rsid w:val="499345BD"/>
    <w:rsid w:val="4A5C22FF"/>
    <w:rsid w:val="4A8C631C"/>
    <w:rsid w:val="4B08477A"/>
    <w:rsid w:val="4B2A14AD"/>
    <w:rsid w:val="4BB07C37"/>
    <w:rsid w:val="4BB8123A"/>
    <w:rsid w:val="4BBB497F"/>
    <w:rsid w:val="4C26756B"/>
    <w:rsid w:val="4C320182"/>
    <w:rsid w:val="4C34523D"/>
    <w:rsid w:val="4C6D61F7"/>
    <w:rsid w:val="4C89032E"/>
    <w:rsid w:val="4C9E6288"/>
    <w:rsid w:val="4CDA2830"/>
    <w:rsid w:val="4D24750F"/>
    <w:rsid w:val="4DBB1AD3"/>
    <w:rsid w:val="4DE04F8C"/>
    <w:rsid w:val="4E557EA6"/>
    <w:rsid w:val="4E5D72E4"/>
    <w:rsid w:val="4EAC3D58"/>
    <w:rsid w:val="4ECE7A28"/>
    <w:rsid w:val="4FAF5590"/>
    <w:rsid w:val="4FC214C2"/>
    <w:rsid w:val="4FDF2068"/>
    <w:rsid w:val="4FE054A0"/>
    <w:rsid w:val="50027B90"/>
    <w:rsid w:val="500707B0"/>
    <w:rsid w:val="50132361"/>
    <w:rsid w:val="509B0528"/>
    <w:rsid w:val="509C1BAA"/>
    <w:rsid w:val="50CA4969"/>
    <w:rsid w:val="51152481"/>
    <w:rsid w:val="51F8581B"/>
    <w:rsid w:val="52070C52"/>
    <w:rsid w:val="52143650"/>
    <w:rsid w:val="523059C7"/>
    <w:rsid w:val="5303052F"/>
    <w:rsid w:val="53607B50"/>
    <w:rsid w:val="536E35C0"/>
    <w:rsid w:val="538A6632"/>
    <w:rsid w:val="556B256A"/>
    <w:rsid w:val="55736AFD"/>
    <w:rsid w:val="55794BB0"/>
    <w:rsid w:val="559A4DEB"/>
    <w:rsid w:val="55A408D2"/>
    <w:rsid w:val="55EA5788"/>
    <w:rsid w:val="566D62CB"/>
    <w:rsid w:val="567333AD"/>
    <w:rsid w:val="567535C9"/>
    <w:rsid w:val="569257CE"/>
    <w:rsid w:val="569F6B8D"/>
    <w:rsid w:val="56A50814"/>
    <w:rsid w:val="56E165DE"/>
    <w:rsid w:val="56E52D17"/>
    <w:rsid w:val="56E61DD1"/>
    <w:rsid w:val="579510B2"/>
    <w:rsid w:val="57A25F59"/>
    <w:rsid w:val="57A327BE"/>
    <w:rsid w:val="581D5B34"/>
    <w:rsid w:val="58507E67"/>
    <w:rsid w:val="58632671"/>
    <w:rsid w:val="59710D24"/>
    <w:rsid w:val="59AD4182"/>
    <w:rsid w:val="59BB1002"/>
    <w:rsid w:val="5A8A1EB6"/>
    <w:rsid w:val="5AB36265"/>
    <w:rsid w:val="5AC17363"/>
    <w:rsid w:val="5B715622"/>
    <w:rsid w:val="5BF21450"/>
    <w:rsid w:val="5BF45AE9"/>
    <w:rsid w:val="5BF46D3E"/>
    <w:rsid w:val="5BF65DB2"/>
    <w:rsid w:val="5C0D7E00"/>
    <w:rsid w:val="5C250121"/>
    <w:rsid w:val="5C5F02DE"/>
    <w:rsid w:val="5C88089B"/>
    <w:rsid w:val="5CC57346"/>
    <w:rsid w:val="5CD324EA"/>
    <w:rsid w:val="5D0900E7"/>
    <w:rsid w:val="5D276C9F"/>
    <w:rsid w:val="5D8939A4"/>
    <w:rsid w:val="5D966B21"/>
    <w:rsid w:val="5DB54A13"/>
    <w:rsid w:val="5DC17DFF"/>
    <w:rsid w:val="5DC52239"/>
    <w:rsid w:val="5DCD784B"/>
    <w:rsid w:val="5DF00527"/>
    <w:rsid w:val="5E0E123D"/>
    <w:rsid w:val="5E1216C8"/>
    <w:rsid w:val="5E314DEE"/>
    <w:rsid w:val="5E6C5858"/>
    <w:rsid w:val="5EFB46F7"/>
    <w:rsid w:val="5F233A81"/>
    <w:rsid w:val="5F28567D"/>
    <w:rsid w:val="5F540363"/>
    <w:rsid w:val="5FB021BE"/>
    <w:rsid w:val="605E1434"/>
    <w:rsid w:val="605F79E5"/>
    <w:rsid w:val="60BB5325"/>
    <w:rsid w:val="614E5143"/>
    <w:rsid w:val="61632F55"/>
    <w:rsid w:val="61A31A99"/>
    <w:rsid w:val="61CB2F61"/>
    <w:rsid w:val="61FA2BD4"/>
    <w:rsid w:val="6214597A"/>
    <w:rsid w:val="62B32B5E"/>
    <w:rsid w:val="637B11D1"/>
    <w:rsid w:val="639B332A"/>
    <w:rsid w:val="63A8453B"/>
    <w:rsid w:val="63D25BB7"/>
    <w:rsid w:val="63ED29F1"/>
    <w:rsid w:val="649D577D"/>
    <w:rsid w:val="653E40CC"/>
    <w:rsid w:val="65B17BB7"/>
    <w:rsid w:val="65C81722"/>
    <w:rsid w:val="663C1BD1"/>
    <w:rsid w:val="66805B15"/>
    <w:rsid w:val="66A95E5E"/>
    <w:rsid w:val="66B56E58"/>
    <w:rsid w:val="66FF68B0"/>
    <w:rsid w:val="677903FB"/>
    <w:rsid w:val="67AD185B"/>
    <w:rsid w:val="67F71466"/>
    <w:rsid w:val="680609A7"/>
    <w:rsid w:val="680E1188"/>
    <w:rsid w:val="682C42FB"/>
    <w:rsid w:val="68433A4A"/>
    <w:rsid w:val="6897117D"/>
    <w:rsid w:val="691D4B3F"/>
    <w:rsid w:val="697836C9"/>
    <w:rsid w:val="699B3221"/>
    <w:rsid w:val="69BA3BB7"/>
    <w:rsid w:val="6A0F1269"/>
    <w:rsid w:val="6A265E9D"/>
    <w:rsid w:val="6A771266"/>
    <w:rsid w:val="6A7C28C2"/>
    <w:rsid w:val="6A9525EC"/>
    <w:rsid w:val="6AA67D9D"/>
    <w:rsid w:val="6AA95EF5"/>
    <w:rsid w:val="6B32479A"/>
    <w:rsid w:val="6BC41BFA"/>
    <w:rsid w:val="6BDA7CFF"/>
    <w:rsid w:val="6BE604F5"/>
    <w:rsid w:val="6C0279FE"/>
    <w:rsid w:val="6C754652"/>
    <w:rsid w:val="6D566DCE"/>
    <w:rsid w:val="6D752BAA"/>
    <w:rsid w:val="6D8643C5"/>
    <w:rsid w:val="6DC146AC"/>
    <w:rsid w:val="6DEC0455"/>
    <w:rsid w:val="6E2F0824"/>
    <w:rsid w:val="6E592861"/>
    <w:rsid w:val="6E5B0FDB"/>
    <w:rsid w:val="6E680C60"/>
    <w:rsid w:val="6EE40F43"/>
    <w:rsid w:val="6F0E2812"/>
    <w:rsid w:val="6F5E3EED"/>
    <w:rsid w:val="6F867CD9"/>
    <w:rsid w:val="6FB2689C"/>
    <w:rsid w:val="6FE42497"/>
    <w:rsid w:val="700A315D"/>
    <w:rsid w:val="70311EB7"/>
    <w:rsid w:val="70406F28"/>
    <w:rsid w:val="70571DF9"/>
    <w:rsid w:val="7064228D"/>
    <w:rsid w:val="70B44F17"/>
    <w:rsid w:val="70C1148D"/>
    <w:rsid w:val="70CC79BE"/>
    <w:rsid w:val="70F06C83"/>
    <w:rsid w:val="71554250"/>
    <w:rsid w:val="72142E23"/>
    <w:rsid w:val="7278201F"/>
    <w:rsid w:val="727944C6"/>
    <w:rsid w:val="728F2F28"/>
    <w:rsid w:val="72B523C2"/>
    <w:rsid w:val="72F3721E"/>
    <w:rsid w:val="72F53E26"/>
    <w:rsid w:val="731144AE"/>
    <w:rsid w:val="73262E92"/>
    <w:rsid w:val="73730DC2"/>
    <w:rsid w:val="7403691C"/>
    <w:rsid w:val="74257F85"/>
    <w:rsid w:val="744C246A"/>
    <w:rsid w:val="751771E8"/>
    <w:rsid w:val="762F0E50"/>
    <w:rsid w:val="76353521"/>
    <w:rsid w:val="76764AC8"/>
    <w:rsid w:val="76797FEA"/>
    <w:rsid w:val="76881181"/>
    <w:rsid w:val="77325BEA"/>
    <w:rsid w:val="77484F63"/>
    <w:rsid w:val="77874C5C"/>
    <w:rsid w:val="782D1479"/>
    <w:rsid w:val="78766F5B"/>
    <w:rsid w:val="79216451"/>
    <w:rsid w:val="7936696A"/>
    <w:rsid w:val="796B5A35"/>
    <w:rsid w:val="79783349"/>
    <w:rsid w:val="79B77344"/>
    <w:rsid w:val="79F7618A"/>
    <w:rsid w:val="7A004F1D"/>
    <w:rsid w:val="7A6F0013"/>
    <w:rsid w:val="7AD15076"/>
    <w:rsid w:val="7ADD111E"/>
    <w:rsid w:val="7B4F2596"/>
    <w:rsid w:val="7B8553F2"/>
    <w:rsid w:val="7B914152"/>
    <w:rsid w:val="7B9358F7"/>
    <w:rsid w:val="7BA15B94"/>
    <w:rsid w:val="7C32489D"/>
    <w:rsid w:val="7D1D07CF"/>
    <w:rsid w:val="7D535AC7"/>
    <w:rsid w:val="7D742FC4"/>
    <w:rsid w:val="7D9C1130"/>
    <w:rsid w:val="7DFC3B04"/>
    <w:rsid w:val="7E292420"/>
    <w:rsid w:val="7E4963B9"/>
    <w:rsid w:val="7EBA4638"/>
    <w:rsid w:val="7ECA6670"/>
    <w:rsid w:val="7EE30820"/>
    <w:rsid w:val="7FA544E3"/>
    <w:rsid w:val="7FE0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qFormat/>
    <w:uiPriority w:val="9"/>
    <w:pPr>
      <w:keepNext/>
      <w:keepLines/>
      <w:spacing w:before="260" w:after="260" w:line="416" w:lineRule="auto"/>
      <w:outlineLvl w:val="1"/>
    </w:pPr>
    <w:rPr>
      <w:rFonts w:ascii="Cambria" w:hAnsi="Cambria"/>
      <w:b/>
      <w:bCs/>
      <w:sz w:val="32"/>
      <w:szCs w:val="32"/>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autoRedefine/>
    <w:qFormat/>
    <w:uiPriority w:val="0"/>
    <w:pPr>
      <w:spacing w:after="12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4"/>
    <w:autoRedefine/>
    <w:qFormat/>
    <w:uiPriority w:val="0"/>
    <w:pPr>
      <w:ind w:firstLine="420" w:firstLineChars="100"/>
    </w:pPr>
    <w:rPr>
      <w:rFonts w:ascii="Calibri" w:hAnsi="Calibri" w:eastAsia="宋体"/>
      <w:kern w:val="0"/>
      <w:sz w:val="20"/>
      <w:szCs w:val="20"/>
    </w:rPr>
  </w:style>
  <w:style w:type="character" w:styleId="11">
    <w:name w:val="Strong"/>
    <w:basedOn w:val="10"/>
    <w:autoRedefine/>
    <w:qFormat/>
    <w:uiPriority w:val="22"/>
    <w:rPr>
      <w:b/>
      <w:bCs/>
    </w:rPr>
  </w:style>
  <w:style w:type="character" w:styleId="12">
    <w:name w:val="Hyperlink"/>
    <w:basedOn w:val="10"/>
    <w:autoRedefine/>
    <w:qFormat/>
    <w:uiPriority w:val="0"/>
    <w:rPr>
      <w:color w:val="0000FF"/>
      <w:u w:val="single"/>
    </w:rPr>
  </w:style>
  <w:style w:type="paragraph" w:customStyle="1" w:styleId="13">
    <w:name w:val="正文1"/>
    <w:autoRedefine/>
    <w:qFormat/>
    <w:uiPriority w:val="0"/>
    <w:pPr>
      <w:jc w:val="both"/>
    </w:pPr>
    <w:rPr>
      <w:rFonts w:ascii="仿宋_GB2312" w:hAnsi="宋体" w:eastAsia="宋体" w:cs="宋体"/>
      <w:kern w:val="2"/>
      <w:sz w:val="21"/>
      <w:szCs w:val="21"/>
      <w:lang w:val="en-US" w:eastAsia="zh-CN" w:bidi="ar-SA"/>
    </w:rPr>
  </w:style>
  <w:style w:type="paragraph" w:customStyle="1" w:styleId="14">
    <w:name w:val="Body text|1"/>
    <w:basedOn w:val="1"/>
    <w:autoRedefine/>
    <w:qFormat/>
    <w:uiPriority w:val="0"/>
    <w:pPr>
      <w:widowControl w:val="0"/>
      <w:shd w:val="clear" w:color="auto" w:fill="auto"/>
      <w:spacing w:line="418" w:lineRule="auto"/>
      <w:ind w:firstLine="400"/>
    </w:pPr>
    <w:rPr>
      <w:rFonts w:ascii="宋体" w:hAnsi="宋体" w:eastAsia="宋体" w:cs="宋体"/>
      <w:sz w:val="30"/>
      <w:szCs w:val="30"/>
      <w:u w:val="none"/>
      <w:shd w:val="clear" w:color="auto" w:fill="auto"/>
      <w:lang w:val="zh-TW" w:eastAsia="zh-TW" w:bidi="zh-TW"/>
    </w:rPr>
  </w:style>
  <w:style w:type="paragraph" w:customStyle="1" w:styleId="15">
    <w:name w:val="DAS正文"/>
    <w:basedOn w:val="1"/>
    <w:autoRedefine/>
    <w:qFormat/>
    <w:uiPriority w:val="0"/>
    <w:pPr>
      <w:spacing w:line="360" w:lineRule="auto"/>
      <w:ind w:right="181" w:firstLine="480" w:firstLineChars="200"/>
    </w:pPr>
    <w:rPr>
      <w:rFonts w:ascii="Verdana" w:hAnsi="Verdana"/>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7451</Words>
  <Characters>7624</Characters>
  <Lines>0</Lines>
  <Paragraphs>0</Paragraphs>
  <TotalTime>44</TotalTime>
  <ScaleCrop>false</ScaleCrop>
  <LinksUpToDate>false</LinksUpToDate>
  <CharactersWithSpaces>7681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2020-12-08T00:58:00Z</dcterms:created>
  <dc:creator>WPS_136622391</dc:creator>
  <cp:lastModifiedBy>吾心如韵</cp:lastModifiedBy>
  <cp:lastPrinted>2024-03-22T01:05:00Z</cp:lastPrinted>
  <dcterms:modified xsi:type="dcterms:W3CDTF">2024-03-29T06:34:33Z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B620A7D517F746A0B1C652914D6A25BE</vt:lpwstr>
  </property>
</Properties>
</file>