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exact"/>
        <w:jc w:val="center"/>
        <w:outlineLvl w:val="1"/>
        <w:rPr>
          <w:rFonts w:ascii="方正小标宋简体" w:hAnsi="微软雅黑" w:eastAsia="方正小标宋简体" w:cs="宋体"/>
          <w:b/>
          <w:bCs/>
          <w:kern w:val="36"/>
          <w:sz w:val="36"/>
          <w:szCs w:val="32"/>
        </w:rPr>
      </w:pPr>
      <w:r>
        <w:rPr>
          <w:rFonts w:hint="eastAsia" w:ascii="方正小标宋简体" w:hAnsi="微软雅黑" w:eastAsia="方正小标宋简体" w:cs="宋体"/>
          <w:b/>
          <w:bCs/>
          <w:kern w:val="36"/>
          <w:sz w:val="36"/>
          <w:szCs w:val="32"/>
        </w:rPr>
        <w:t>关于开展20</w:t>
      </w:r>
      <w:r>
        <w:rPr>
          <w:rFonts w:ascii="方正小标宋简体" w:hAnsi="微软雅黑" w:eastAsia="方正小标宋简体" w:cs="宋体"/>
          <w:b/>
          <w:bCs/>
          <w:kern w:val="36"/>
          <w:sz w:val="36"/>
          <w:szCs w:val="32"/>
        </w:rPr>
        <w:t>2</w:t>
      </w:r>
      <w:r>
        <w:rPr>
          <w:rFonts w:hint="eastAsia" w:ascii="方正小标宋简体" w:hAnsi="微软雅黑" w:eastAsia="方正小标宋简体" w:cs="宋体"/>
          <w:b/>
          <w:bCs/>
          <w:kern w:val="36"/>
          <w:sz w:val="36"/>
          <w:szCs w:val="32"/>
          <w:lang w:val="en-US" w:eastAsia="zh-CN"/>
        </w:rPr>
        <w:t>3</w:t>
      </w:r>
      <w:r>
        <w:rPr>
          <w:rFonts w:hint="eastAsia" w:ascii="方正小标宋简体" w:hAnsi="微软雅黑" w:eastAsia="方正小标宋简体" w:cs="宋体"/>
          <w:b/>
          <w:bCs/>
          <w:kern w:val="36"/>
          <w:sz w:val="36"/>
          <w:szCs w:val="32"/>
        </w:rPr>
        <w:t>年</w:t>
      </w:r>
      <w:r>
        <w:rPr>
          <w:rFonts w:hint="eastAsia" w:ascii="方正小标宋简体" w:hAnsi="微软雅黑" w:eastAsia="方正小标宋简体" w:cs="宋体"/>
          <w:b/>
          <w:bCs/>
          <w:kern w:val="36"/>
          <w:sz w:val="36"/>
          <w:szCs w:val="32"/>
          <w:lang w:eastAsia="zh-CN"/>
        </w:rPr>
        <w:t>省级</w:t>
      </w:r>
      <w:r>
        <w:rPr>
          <w:rFonts w:hint="eastAsia" w:ascii="方正小标宋简体" w:hAnsi="微软雅黑" w:eastAsia="方正小标宋简体" w:cs="宋体"/>
          <w:b/>
          <w:bCs/>
          <w:kern w:val="36"/>
          <w:sz w:val="36"/>
          <w:szCs w:val="32"/>
        </w:rPr>
        <w:t>一流课程</w:t>
      </w:r>
      <w:r>
        <w:rPr>
          <w:rFonts w:hint="eastAsia" w:ascii="方正小标宋简体" w:hAnsi="微软雅黑" w:eastAsia="方正小标宋简体" w:cs="宋体"/>
          <w:b/>
          <w:bCs/>
          <w:kern w:val="36"/>
          <w:sz w:val="36"/>
          <w:szCs w:val="32"/>
          <w:lang w:eastAsia="zh-CN"/>
        </w:rPr>
        <w:t>推荐申报</w:t>
      </w:r>
      <w:r>
        <w:rPr>
          <w:rFonts w:hint="eastAsia" w:ascii="方正小标宋简体" w:hAnsi="微软雅黑" w:eastAsia="方正小标宋简体" w:cs="宋体"/>
          <w:b/>
          <w:bCs/>
          <w:kern w:val="36"/>
          <w:sz w:val="36"/>
          <w:szCs w:val="32"/>
        </w:rPr>
        <w:t>工作的通知</w:t>
      </w:r>
      <w:r>
        <w:rPr>
          <w:rFonts w:hint="eastAsia" w:ascii="方正小标宋简体" w:hAnsi="微软雅黑" w:eastAsia="方正小标宋简体" w:cs="宋体"/>
          <w:b/>
          <w:bCs/>
          <w:vanish/>
          <w:kern w:val="0"/>
          <w:sz w:val="36"/>
          <w:szCs w:val="32"/>
        </w:rPr>
        <w:t>一</w:t>
      </w:r>
    </w:p>
    <w:p>
      <w:pPr>
        <w:widowControl/>
        <w:shd w:val="clear" w:color="auto" w:fill="FFFFFF"/>
        <w:spacing w:line="560" w:lineRule="exact"/>
        <w:jc w:val="left"/>
        <w:outlineLvl w:val="1"/>
        <w:rPr>
          <w:rFonts w:ascii="仿宋" w:hAnsi="仿宋" w:eastAsia="仿宋" w:cs="宋体"/>
          <w:b/>
          <w:bCs/>
          <w:kern w:val="36"/>
          <w:sz w:val="28"/>
          <w:szCs w:val="28"/>
        </w:rPr>
      </w:pPr>
    </w:p>
    <w:p>
      <w:pPr>
        <w:widowControl/>
        <w:shd w:val="clear" w:color="auto" w:fill="FFFFFF"/>
        <w:spacing w:line="560" w:lineRule="exact"/>
        <w:jc w:val="left"/>
        <w:outlineLvl w:val="1"/>
        <w:rPr>
          <w:rFonts w:ascii="仿宋" w:hAnsi="仿宋" w:eastAsia="仿宋" w:cs="宋体"/>
          <w:bCs/>
          <w:kern w:val="36"/>
          <w:sz w:val="28"/>
          <w:szCs w:val="28"/>
        </w:rPr>
      </w:pPr>
      <w:r>
        <w:rPr>
          <w:rFonts w:hint="eastAsia" w:ascii="仿宋" w:hAnsi="仿宋" w:eastAsia="仿宋" w:cs="宋体"/>
          <w:bCs/>
          <w:kern w:val="36"/>
          <w:sz w:val="28"/>
          <w:szCs w:val="28"/>
        </w:rPr>
        <w:t>各</w:t>
      </w:r>
      <w:r>
        <w:rPr>
          <w:rFonts w:hint="eastAsia" w:ascii="仿宋" w:hAnsi="仿宋" w:eastAsia="仿宋" w:cs="宋体"/>
          <w:bCs/>
          <w:kern w:val="36"/>
          <w:sz w:val="28"/>
          <w:szCs w:val="28"/>
          <w:lang w:eastAsia="zh-CN"/>
        </w:rPr>
        <w:t>教学</w:t>
      </w:r>
      <w:r>
        <w:rPr>
          <w:rFonts w:hint="eastAsia" w:ascii="仿宋" w:hAnsi="仿宋" w:eastAsia="仿宋" w:cs="宋体"/>
          <w:bCs/>
          <w:kern w:val="36"/>
          <w:sz w:val="28"/>
          <w:szCs w:val="28"/>
        </w:rPr>
        <w:t>单位：</w:t>
      </w:r>
    </w:p>
    <w:p>
      <w:pPr>
        <w:ind w:firstLine="560" w:firstLineChars="200"/>
        <w:jc w:val="left"/>
        <w:rPr>
          <w:rFonts w:hint="eastAsia" w:ascii="仿宋" w:hAnsi="仿宋" w:eastAsia="仿宋" w:cs="宋体"/>
          <w:kern w:val="0"/>
          <w:sz w:val="28"/>
          <w:szCs w:val="28"/>
          <w:lang w:eastAsia="zh-CN"/>
        </w:rPr>
      </w:pPr>
      <w:r>
        <w:rPr>
          <w:rFonts w:hint="eastAsia" w:ascii="仿宋" w:hAnsi="仿宋" w:eastAsia="仿宋" w:cs="宋体"/>
          <w:kern w:val="0"/>
          <w:sz w:val="28"/>
          <w:szCs w:val="28"/>
        </w:rPr>
        <w:t>为贯彻落实《教育部关于一流本科课程建设的实施意见》（教高〔2019〕8号）、《福建省全面振兴本科教育实施意见》精神，根据《福建省教育厅办公室关于开展2023年一流本科课程认定及推荐工作的通知》（</w:t>
      </w:r>
      <w:r>
        <w:rPr>
          <w:rFonts w:hint="eastAsia" w:ascii="仿宋" w:hAnsi="仿宋" w:eastAsia="仿宋" w:cs="宋体"/>
          <w:kern w:val="0"/>
          <w:sz w:val="28"/>
          <w:szCs w:val="28"/>
          <w:lang w:eastAsia="zh-CN"/>
        </w:rPr>
        <w:t>闽教办高</w:t>
      </w:r>
      <w:r>
        <w:rPr>
          <w:rFonts w:hint="eastAsia" w:ascii="仿宋" w:hAnsi="仿宋" w:eastAsia="仿宋" w:cs="宋体"/>
          <w:kern w:val="0"/>
          <w:sz w:val="28"/>
          <w:szCs w:val="28"/>
        </w:rPr>
        <w:t>〔202</w:t>
      </w:r>
      <w:r>
        <w:rPr>
          <w:rFonts w:hint="eastAsia" w:ascii="仿宋" w:hAnsi="仿宋" w:eastAsia="仿宋" w:cs="宋体"/>
          <w:kern w:val="0"/>
          <w:sz w:val="28"/>
          <w:szCs w:val="28"/>
          <w:lang w:val="en-US" w:eastAsia="zh-CN"/>
        </w:rPr>
        <w:t>3</w:t>
      </w:r>
      <w:r>
        <w:rPr>
          <w:rFonts w:hint="eastAsia" w:ascii="仿宋" w:hAnsi="仿宋" w:eastAsia="仿宋" w:cs="宋体"/>
          <w:kern w:val="0"/>
          <w:sz w:val="28"/>
          <w:szCs w:val="28"/>
        </w:rPr>
        <w:t>〕</w:t>
      </w:r>
      <w:r>
        <w:rPr>
          <w:rFonts w:hint="eastAsia" w:ascii="仿宋" w:hAnsi="仿宋" w:eastAsia="仿宋" w:cs="宋体"/>
          <w:kern w:val="0"/>
          <w:sz w:val="28"/>
          <w:szCs w:val="28"/>
          <w:lang w:val="en-US" w:eastAsia="zh-CN"/>
        </w:rPr>
        <w:t>2</w:t>
      </w:r>
      <w:r>
        <w:rPr>
          <w:rFonts w:hint="eastAsia" w:ascii="仿宋" w:hAnsi="仿宋" w:eastAsia="仿宋" w:cs="宋体"/>
          <w:kern w:val="0"/>
          <w:sz w:val="28"/>
          <w:szCs w:val="28"/>
        </w:rPr>
        <w:t>号），</w:t>
      </w:r>
      <w:r>
        <w:rPr>
          <w:rFonts w:hint="eastAsia" w:ascii="仿宋" w:hAnsi="仿宋" w:eastAsia="仿宋" w:cs="宋体"/>
          <w:kern w:val="0"/>
          <w:sz w:val="28"/>
          <w:szCs w:val="28"/>
          <w:lang w:eastAsia="zh-CN"/>
        </w:rPr>
        <w:t>省教育</w:t>
      </w:r>
      <w:r>
        <w:rPr>
          <w:rFonts w:hint="eastAsia" w:ascii="仿宋" w:hAnsi="仿宋" w:eastAsia="仿宋" w:cs="宋体"/>
          <w:kern w:val="0"/>
          <w:sz w:val="28"/>
          <w:szCs w:val="28"/>
        </w:rPr>
        <w:t>厅将开展202</w:t>
      </w:r>
      <w:r>
        <w:rPr>
          <w:rFonts w:hint="eastAsia" w:ascii="仿宋" w:hAnsi="仿宋" w:eastAsia="仿宋" w:cs="宋体"/>
          <w:kern w:val="0"/>
          <w:sz w:val="28"/>
          <w:szCs w:val="28"/>
          <w:lang w:val="en-US" w:eastAsia="zh-CN"/>
        </w:rPr>
        <w:t>3</w:t>
      </w:r>
      <w:r>
        <w:rPr>
          <w:rFonts w:hint="eastAsia" w:ascii="仿宋" w:hAnsi="仿宋" w:eastAsia="仿宋" w:cs="宋体"/>
          <w:kern w:val="0"/>
          <w:sz w:val="28"/>
          <w:szCs w:val="28"/>
        </w:rPr>
        <w:t>年省级一流本科课程认定工作，现将有关事项通知如下</w:t>
      </w:r>
      <w:r>
        <w:rPr>
          <w:rFonts w:hint="eastAsia" w:ascii="仿宋" w:hAnsi="仿宋" w:eastAsia="仿宋" w:cs="宋体"/>
          <w:kern w:val="0"/>
          <w:sz w:val="28"/>
          <w:szCs w:val="28"/>
          <w:lang w:eastAsia="zh-CN"/>
        </w:rPr>
        <w:t>：</w:t>
      </w:r>
    </w:p>
    <w:p>
      <w:pPr>
        <w:ind w:firstLine="562" w:firstLineChars="200"/>
        <w:jc w:val="left"/>
        <w:rPr>
          <w:rFonts w:hint="eastAsia" w:ascii="仿宋" w:hAnsi="仿宋" w:eastAsia="仿宋" w:cs="宋体"/>
          <w:b/>
          <w:bCs/>
          <w:kern w:val="0"/>
          <w:sz w:val="28"/>
          <w:szCs w:val="28"/>
        </w:rPr>
      </w:pPr>
      <w:r>
        <w:rPr>
          <w:rFonts w:hint="eastAsia" w:ascii="仿宋" w:hAnsi="仿宋" w:eastAsia="仿宋" w:cs="宋体"/>
          <w:b/>
          <w:bCs/>
          <w:kern w:val="0"/>
          <w:sz w:val="28"/>
          <w:szCs w:val="28"/>
          <w:lang w:eastAsia="zh-CN"/>
        </w:rPr>
        <w:t>一、</w:t>
      </w:r>
      <w:r>
        <w:rPr>
          <w:rFonts w:hint="eastAsia" w:ascii="仿宋" w:hAnsi="仿宋" w:eastAsia="仿宋" w:cs="宋体"/>
          <w:b/>
          <w:bCs/>
          <w:kern w:val="0"/>
          <w:sz w:val="28"/>
          <w:szCs w:val="28"/>
        </w:rPr>
        <w:t>申报推荐原则</w:t>
      </w:r>
    </w:p>
    <w:p>
      <w:pPr>
        <w:ind w:firstLine="560" w:firstLineChars="200"/>
        <w:jc w:val="left"/>
        <w:rPr>
          <w:rFonts w:hint="eastAsia" w:ascii="仿宋" w:hAnsi="仿宋" w:eastAsia="仿宋" w:cs="宋体"/>
          <w:kern w:val="0"/>
          <w:sz w:val="28"/>
          <w:szCs w:val="28"/>
        </w:rPr>
      </w:pPr>
      <w:r>
        <w:rPr>
          <w:rFonts w:hint="eastAsia" w:ascii="仿宋" w:hAnsi="仿宋" w:eastAsia="仿宋" w:cs="宋体"/>
          <w:kern w:val="0"/>
          <w:sz w:val="28"/>
          <w:szCs w:val="28"/>
        </w:rPr>
        <w:t>符合教育部关于一流课程建设和认定相关文件规定的原则和标准，同时满足以下要求：</w:t>
      </w:r>
    </w:p>
    <w:p>
      <w:pPr>
        <w:ind w:firstLine="560" w:firstLineChars="200"/>
        <w:jc w:val="left"/>
        <w:rPr>
          <w:rFonts w:hint="eastAsia" w:ascii="仿宋" w:hAnsi="仿宋" w:eastAsia="仿宋" w:cs="宋体"/>
          <w:kern w:val="0"/>
          <w:sz w:val="28"/>
          <w:szCs w:val="28"/>
        </w:rPr>
      </w:pPr>
      <w:r>
        <w:rPr>
          <w:rFonts w:hint="eastAsia" w:ascii="仿宋" w:hAnsi="仿宋" w:eastAsia="仿宋" w:cs="宋体"/>
          <w:kern w:val="0"/>
          <w:sz w:val="28"/>
          <w:szCs w:val="28"/>
        </w:rPr>
        <w:t>（一）优先</w:t>
      </w:r>
      <w:r>
        <w:rPr>
          <w:rFonts w:hint="eastAsia" w:ascii="仿宋" w:hAnsi="仿宋" w:eastAsia="仿宋" w:cs="宋体"/>
          <w:kern w:val="0"/>
          <w:sz w:val="28"/>
          <w:szCs w:val="28"/>
          <w:lang w:eastAsia="zh-CN"/>
        </w:rPr>
        <w:t>推荐</w:t>
      </w:r>
      <w:r>
        <w:rPr>
          <w:rFonts w:hint="eastAsia" w:ascii="仿宋" w:hAnsi="仿宋" w:eastAsia="仿宋" w:cs="宋体"/>
          <w:kern w:val="0"/>
          <w:sz w:val="28"/>
          <w:szCs w:val="28"/>
        </w:rPr>
        <w:t>建设基础好、特色强、质量高、团队优、教学改革成效显著、具有示范推广价值的课程。</w:t>
      </w:r>
    </w:p>
    <w:p>
      <w:pPr>
        <w:ind w:firstLine="560" w:firstLineChars="200"/>
        <w:jc w:val="left"/>
        <w:rPr>
          <w:rFonts w:hint="eastAsia" w:ascii="仿宋" w:hAnsi="仿宋" w:eastAsia="仿宋" w:cs="宋体"/>
          <w:kern w:val="0"/>
          <w:sz w:val="28"/>
          <w:szCs w:val="28"/>
        </w:rPr>
      </w:pPr>
      <w:r>
        <w:rPr>
          <w:rFonts w:hint="eastAsia" w:ascii="仿宋" w:hAnsi="仿宋" w:eastAsia="仿宋" w:cs="宋体"/>
          <w:kern w:val="0"/>
          <w:sz w:val="28"/>
          <w:szCs w:val="28"/>
        </w:rPr>
        <w:t>（二）</w:t>
      </w:r>
      <w:r>
        <w:rPr>
          <w:rFonts w:hint="eastAsia" w:ascii="仿宋" w:hAnsi="仿宋" w:eastAsia="仿宋" w:cs="宋体"/>
          <w:kern w:val="0"/>
          <w:sz w:val="28"/>
          <w:szCs w:val="28"/>
          <w:lang w:eastAsia="zh-CN"/>
        </w:rPr>
        <w:t>优先推荐</w:t>
      </w:r>
      <w:r>
        <w:rPr>
          <w:rFonts w:hint="eastAsia" w:ascii="仿宋" w:hAnsi="仿宋" w:eastAsia="仿宋" w:cs="宋体"/>
          <w:kern w:val="0"/>
          <w:sz w:val="28"/>
          <w:szCs w:val="28"/>
        </w:rPr>
        <w:t>省级一流专业建设点</w:t>
      </w:r>
      <w:r>
        <w:rPr>
          <w:rFonts w:hint="eastAsia" w:ascii="仿宋" w:hAnsi="仿宋" w:eastAsia="仿宋" w:cs="宋体"/>
          <w:kern w:val="0"/>
          <w:sz w:val="28"/>
          <w:szCs w:val="28"/>
          <w:lang w:eastAsia="zh-CN"/>
        </w:rPr>
        <w:t>任务要求的专业课程，</w:t>
      </w:r>
      <w:r>
        <w:rPr>
          <w:rFonts w:hint="eastAsia" w:ascii="仿宋" w:hAnsi="仿宋" w:eastAsia="仿宋" w:cs="宋体"/>
          <w:kern w:val="0"/>
          <w:sz w:val="28"/>
          <w:szCs w:val="28"/>
        </w:rPr>
        <w:t>鼓励校企联合开发课程、校际合作共建课程。</w:t>
      </w:r>
    </w:p>
    <w:p>
      <w:pPr>
        <w:ind w:firstLine="560" w:firstLineChars="200"/>
        <w:jc w:val="left"/>
        <w:rPr>
          <w:rFonts w:hint="eastAsia" w:ascii="仿宋" w:hAnsi="仿宋" w:eastAsia="仿宋" w:cs="宋体"/>
          <w:kern w:val="0"/>
          <w:sz w:val="28"/>
          <w:szCs w:val="28"/>
        </w:rPr>
      </w:pPr>
      <w:r>
        <w:rPr>
          <w:rFonts w:hint="eastAsia" w:ascii="仿宋" w:hAnsi="仿宋" w:eastAsia="仿宋" w:cs="宋体"/>
          <w:kern w:val="0"/>
          <w:sz w:val="28"/>
          <w:szCs w:val="28"/>
        </w:rPr>
        <w:t>（三）课程团队教学改革理念先进，人员结构及任务分工合理。</w:t>
      </w:r>
    </w:p>
    <w:p>
      <w:pPr>
        <w:ind w:firstLine="560" w:firstLineChars="200"/>
        <w:jc w:val="left"/>
        <w:rPr>
          <w:rFonts w:hint="default" w:ascii="黑体" w:hAnsi="黑体" w:eastAsia="黑体" w:cs="宋体"/>
          <w:b w:val="0"/>
          <w:bCs w:val="0"/>
          <w:kern w:val="0"/>
          <w:sz w:val="28"/>
          <w:szCs w:val="28"/>
          <w:lang w:val="en-US" w:eastAsia="zh-CN"/>
        </w:rPr>
      </w:pPr>
      <w:r>
        <w:rPr>
          <w:rFonts w:hint="eastAsia" w:ascii="仿宋" w:hAnsi="仿宋" w:eastAsia="仿宋" w:cs="宋体"/>
          <w:kern w:val="0"/>
          <w:sz w:val="28"/>
          <w:szCs w:val="28"/>
        </w:rPr>
        <w:t>（四）课程建设要服务于专业发展，创新教育理念，内容上能广泛运用信息化资源，方法上能熟练使用智能化教学平台，评价上能覆盖教学全过程，效果上能充分满足学生个性化学习需求。</w:t>
      </w:r>
    </w:p>
    <w:p>
      <w:pPr>
        <w:ind w:firstLine="562" w:firstLineChars="200"/>
        <w:jc w:val="left"/>
        <w:rPr>
          <w:rFonts w:hint="eastAsia" w:ascii="仿宋" w:hAnsi="仿宋" w:eastAsia="仿宋" w:cs="宋体"/>
          <w:b/>
          <w:bCs/>
          <w:kern w:val="0"/>
          <w:sz w:val="28"/>
          <w:szCs w:val="28"/>
          <w:lang w:eastAsia="zh-CN"/>
        </w:rPr>
      </w:pPr>
      <w:r>
        <w:rPr>
          <w:rFonts w:hint="eastAsia" w:ascii="仿宋" w:hAnsi="仿宋" w:eastAsia="仿宋" w:cs="宋体"/>
          <w:b/>
          <w:bCs/>
          <w:kern w:val="0"/>
          <w:sz w:val="28"/>
          <w:szCs w:val="28"/>
          <w:lang w:eastAsia="zh-CN"/>
        </w:rPr>
        <w:t>二、申报基本要求</w:t>
      </w:r>
    </w:p>
    <w:p>
      <w:pPr>
        <w:widowControl/>
        <w:shd w:val="clear" w:color="auto" w:fill="FFFFFF"/>
        <w:spacing w:line="560" w:lineRule="exact"/>
        <w:ind w:firstLine="560"/>
        <w:jc w:val="left"/>
        <w:rPr>
          <w:rFonts w:hint="eastAsia" w:ascii="仿宋" w:hAnsi="仿宋" w:eastAsia="仿宋" w:cs="宋体"/>
          <w:kern w:val="0"/>
          <w:sz w:val="28"/>
          <w:szCs w:val="28"/>
        </w:rPr>
      </w:pPr>
      <w:r>
        <w:rPr>
          <w:rFonts w:hint="eastAsia" w:ascii="仿宋" w:hAnsi="仿宋" w:eastAsia="仿宋" w:cs="宋体"/>
          <w:kern w:val="0"/>
          <w:sz w:val="28"/>
          <w:szCs w:val="28"/>
        </w:rPr>
        <w:t>1.认定课程应满足教高〔2019〕8号、教高厅函〔2021〕13号文件规定的基本要求，还应满足我省一流本科课程申报说明（见附件1）的具体要求。推荐认定课程的教学学期或教学周期截止时间为</w:t>
      </w:r>
      <w:r>
        <w:rPr>
          <w:rFonts w:hint="eastAsia" w:ascii="仿宋" w:hAnsi="仿宋" w:eastAsia="仿宋" w:cs="宋体"/>
          <w:kern w:val="0"/>
          <w:sz w:val="28"/>
          <w:szCs w:val="28"/>
          <w:u w:val="single"/>
        </w:rPr>
        <w:t>2023年6月30日</w:t>
      </w:r>
      <w:r>
        <w:rPr>
          <w:rFonts w:hint="eastAsia" w:ascii="仿宋" w:hAnsi="仿宋" w:eastAsia="仿宋" w:cs="宋体"/>
          <w:kern w:val="0"/>
          <w:sz w:val="28"/>
          <w:szCs w:val="28"/>
        </w:rPr>
        <w:t>之前。</w:t>
      </w:r>
    </w:p>
    <w:p>
      <w:pPr>
        <w:widowControl/>
        <w:shd w:val="clear" w:color="auto" w:fill="FFFFFF"/>
        <w:spacing w:line="560" w:lineRule="exact"/>
        <w:ind w:firstLine="560"/>
        <w:jc w:val="left"/>
        <w:rPr>
          <w:rFonts w:hint="eastAsia" w:ascii="仿宋" w:hAnsi="仿宋" w:eastAsia="仿宋" w:cs="宋体"/>
          <w:kern w:val="0"/>
          <w:sz w:val="28"/>
          <w:szCs w:val="28"/>
        </w:rPr>
      </w:pPr>
      <w:r>
        <w:rPr>
          <w:rFonts w:hint="eastAsia" w:ascii="仿宋" w:hAnsi="仿宋" w:eastAsia="仿宋" w:cs="宋体"/>
          <w:kern w:val="0"/>
          <w:sz w:val="28"/>
          <w:szCs w:val="28"/>
        </w:rPr>
        <w:t>2.申报课程应经过严格的意识形态审查、内容审查和质量监督，线上、线上线下混合和虚拟仿真实验课程还应经过学校信息部门的网络技术安全审查，确保正确的政治方向和价值导向。根据《教育部等五部门关于加强普通高等学校在线开放课程教学管理的若干意见》（教高〔2022〕1号文）要求，申报线上课程依托的在线课程平台的安全保护等级不应低于</w:t>
      </w:r>
      <w:r>
        <w:rPr>
          <w:rFonts w:hint="eastAsia" w:ascii="仿宋" w:hAnsi="仿宋" w:eastAsia="仿宋" w:cs="宋体"/>
          <w:kern w:val="0"/>
          <w:sz w:val="28"/>
          <w:szCs w:val="28"/>
          <w:u w:val="single"/>
        </w:rPr>
        <w:t>第三级</w:t>
      </w:r>
      <w:r>
        <w:rPr>
          <w:rFonts w:hint="eastAsia" w:ascii="仿宋" w:hAnsi="仿宋" w:eastAsia="仿宋" w:cs="宋体"/>
          <w:kern w:val="0"/>
          <w:sz w:val="28"/>
          <w:szCs w:val="28"/>
        </w:rPr>
        <w:t>。申报虚拟仿真实验教学课程的，课程系统需</w:t>
      </w:r>
      <w:r>
        <w:rPr>
          <w:rFonts w:hint="eastAsia" w:ascii="仿宋" w:hAnsi="仿宋" w:eastAsia="仿宋" w:cs="宋体"/>
          <w:kern w:val="0"/>
          <w:sz w:val="28"/>
          <w:szCs w:val="28"/>
          <w:u w:val="single"/>
        </w:rPr>
        <w:t>已完成二级或以上等保备案及安全测评</w:t>
      </w:r>
      <w:r>
        <w:rPr>
          <w:rFonts w:hint="eastAsia" w:ascii="仿宋" w:hAnsi="仿宋" w:eastAsia="仿宋" w:cs="宋体"/>
          <w:kern w:val="0"/>
          <w:sz w:val="28"/>
          <w:szCs w:val="28"/>
        </w:rPr>
        <w:t>（备案主体为高校），并符合《国家虚拟仿真实验教学课程技术接口规范（2020 版）》。</w:t>
      </w:r>
    </w:p>
    <w:p>
      <w:pPr>
        <w:widowControl/>
        <w:shd w:val="clear" w:color="auto" w:fill="FFFFFF"/>
        <w:spacing w:line="560" w:lineRule="exact"/>
        <w:ind w:firstLine="560"/>
        <w:jc w:val="left"/>
        <w:rPr>
          <w:rFonts w:hint="eastAsia" w:ascii="仿宋" w:hAnsi="仿宋" w:eastAsia="仿宋" w:cs="宋体"/>
          <w:kern w:val="0"/>
          <w:sz w:val="28"/>
          <w:szCs w:val="28"/>
        </w:rPr>
      </w:pPr>
      <w:r>
        <w:rPr>
          <w:rFonts w:hint="eastAsia" w:ascii="仿宋" w:hAnsi="仿宋" w:eastAsia="仿宋" w:cs="宋体"/>
          <w:kern w:val="0"/>
          <w:sz w:val="28"/>
          <w:szCs w:val="28"/>
        </w:rPr>
        <w:t>3.每位教师以课程负责人身份只能申报一门课程，作为主要教学团队成员参与申报的课程数不超过2门（含课程负责人1门）。</w:t>
      </w:r>
    </w:p>
    <w:p>
      <w:pPr>
        <w:widowControl/>
        <w:shd w:val="clear" w:color="auto" w:fill="FFFFFF"/>
        <w:spacing w:line="560" w:lineRule="exact"/>
        <w:ind w:firstLine="560"/>
        <w:jc w:val="left"/>
        <w:rPr>
          <w:rFonts w:hint="eastAsia" w:ascii="仿宋" w:hAnsi="仿宋" w:eastAsia="仿宋" w:cs="宋体"/>
          <w:kern w:val="0"/>
          <w:sz w:val="28"/>
          <w:szCs w:val="28"/>
        </w:rPr>
      </w:pPr>
      <w:r>
        <w:rPr>
          <w:rFonts w:hint="eastAsia" w:ascii="仿宋" w:hAnsi="仿宋" w:eastAsia="仿宋" w:cs="宋体"/>
          <w:kern w:val="0"/>
          <w:sz w:val="28"/>
          <w:szCs w:val="28"/>
        </w:rPr>
        <w:t>4.已获认定为国家级或省级一流本科课程的，不再以该课程继续申报其他类型省级一流课程。</w:t>
      </w:r>
    </w:p>
    <w:p>
      <w:pPr>
        <w:widowControl/>
        <w:shd w:val="clear" w:color="auto" w:fill="FFFFFF"/>
        <w:spacing w:line="560" w:lineRule="exact"/>
        <w:ind w:firstLine="560"/>
        <w:jc w:val="left"/>
        <w:rPr>
          <w:rFonts w:hint="eastAsia" w:ascii="仿宋" w:hAnsi="仿宋" w:eastAsia="仿宋" w:cs="宋体"/>
          <w:kern w:val="0"/>
          <w:sz w:val="28"/>
          <w:szCs w:val="28"/>
          <w:lang w:eastAsia="zh-CN"/>
        </w:rPr>
      </w:pPr>
      <w:r>
        <w:rPr>
          <w:rFonts w:hint="eastAsia" w:ascii="仿宋" w:hAnsi="仿宋" w:eastAsia="仿宋" w:cs="宋体"/>
          <w:kern w:val="0"/>
          <w:sz w:val="28"/>
          <w:szCs w:val="28"/>
        </w:rPr>
        <w:t>三、</w:t>
      </w:r>
      <w:r>
        <w:rPr>
          <w:rFonts w:hint="eastAsia" w:ascii="仿宋" w:hAnsi="仿宋" w:eastAsia="仿宋" w:cs="宋体"/>
          <w:kern w:val="0"/>
          <w:sz w:val="28"/>
          <w:szCs w:val="28"/>
          <w:lang w:eastAsia="zh-CN"/>
        </w:rPr>
        <w:t>申报工作流程</w:t>
      </w:r>
    </w:p>
    <w:p>
      <w:pPr>
        <w:widowControl/>
        <w:shd w:val="clear" w:color="auto" w:fill="FFFFFF"/>
        <w:spacing w:line="560" w:lineRule="exact"/>
        <w:ind w:firstLine="560"/>
        <w:jc w:val="left"/>
        <w:rPr>
          <w:rFonts w:hint="eastAsia" w:ascii="仿宋" w:hAnsi="仿宋" w:eastAsia="仿宋" w:cs="宋体"/>
          <w:kern w:val="0"/>
          <w:sz w:val="28"/>
          <w:szCs w:val="28"/>
          <w:lang w:eastAsia="zh-CN"/>
        </w:rPr>
      </w:pPr>
      <w:bookmarkStart w:id="0" w:name="_GoBack"/>
      <w:r>
        <w:drawing>
          <wp:anchor distT="0" distB="0" distL="114300" distR="114300" simplePos="0" relativeHeight="251659264" behindDoc="0" locked="0" layoutInCell="1" allowOverlap="1">
            <wp:simplePos x="0" y="0"/>
            <wp:positionH relativeFrom="column">
              <wp:posOffset>115570</wp:posOffset>
            </wp:positionH>
            <wp:positionV relativeFrom="paragraph">
              <wp:posOffset>29845</wp:posOffset>
            </wp:positionV>
            <wp:extent cx="5628005" cy="3439160"/>
            <wp:effectExtent l="0" t="0" r="10795" b="889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628005" cy="3439160"/>
                    </a:xfrm>
                    <a:prstGeom prst="rect">
                      <a:avLst/>
                    </a:prstGeom>
                    <a:noFill/>
                    <a:ln>
                      <a:noFill/>
                    </a:ln>
                  </pic:spPr>
                </pic:pic>
              </a:graphicData>
            </a:graphic>
          </wp:anchor>
        </w:drawing>
      </w:r>
      <w:bookmarkEnd w:id="0"/>
    </w:p>
    <w:p>
      <w:pPr>
        <w:spacing w:line="520" w:lineRule="exact"/>
        <w:ind w:firstLine="560" w:firstLineChars="200"/>
        <w:jc w:val="both"/>
        <w:rPr>
          <w:rFonts w:hint="eastAsia" w:ascii="仿宋" w:hAnsi="仿宋" w:eastAsia="仿宋" w:cs="Times New Roman"/>
          <w:sz w:val="28"/>
          <w:szCs w:val="28"/>
          <w:lang w:eastAsia="zh-CN"/>
        </w:rPr>
      </w:pPr>
    </w:p>
    <w:p>
      <w:pPr>
        <w:spacing w:line="520" w:lineRule="exact"/>
        <w:ind w:firstLine="560" w:firstLineChars="200"/>
        <w:jc w:val="both"/>
        <w:rPr>
          <w:rFonts w:hint="eastAsia" w:ascii="仿宋" w:hAnsi="仿宋" w:eastAsia="仿宋" w:cs="Times New Roman"/>
          <w:sz w:val="28"/>
          <w:szCs w:val="28"/>
          <w:lang w:eastAsia="zh-CN"/>
        </w:rPr>
      </w:pPr>
    </w:p>
    <w:p>
      <w:pPr>
        <w:spacing w:line="520" w:lineRule="exact"/>
        <w:ind w:firstLine="560" w:firstLineChars="200"/>
        <w:jc w:val="both"/>
        <w:rPr>
          <w:rFonts w:hint="eastAsia" w:ascii="仿宋" w:hAnsi="仿宋" w:eastAsia="仿宋" w:cs="Times New Roman"/>
          <w:sz w:val="28"/>
          <w:szCs w:val="28"/>
          <w:lang w:eastAsia="zh-CN"/>
        </w:rPr>
      </w:pPr>
    </w:p>
    <w:p>
      <w:pPr>
        <w:spacing w:line="520" w:lineRule="exact"/>
        <w:ind w:firstLine="560" w:firstLineChars="200"/>
        <w:jc w:val="both"/>
        <w:rPr>
          <w:rFonts w:hint="eastAsia" w:ascii="仿宋" w:hAnsi="仿宋" w:eastAsia="仿宋" w:cs="Times New Roman"/>
          <w:sz w:val="28"/>
          <w:szCs w:val="28"/>
          <w:lang w:eastAsia="zh-CN"/>
        </w:rPr>
      </w:pPr>
    </w:p>
    <w:p>
      <w:pPr>
        <w:spacing w:line="520" w:lineRule="exact"/>
        <w:ind w:firstLine="560" w:firstLineChars="200"/>
        <w:jc w:val="both"/>
        <w:rPr>
          <w:rFonts w:hint="eastAsia" w:ascii="仿宋" w:hAnsi="仿宋" w:eastAsia="仿宋" w:cs="Times New Roman"/>
          <w:sz w:val="28"/>
          <w:szCs w:val="28"/>
          <w:lang w:eastAsia="zh-CN"/>
        </w:rPr>
      </w:pPr>
    </w:p>
    <w:p>
      <w:pPr>
        <w:spacing w:line="520" w:lineRule="exact"/>
        <w:ind w:firstLine="560" w:firstLineChars="200"/>
        <w:jc w:val="both"/>
        <w:rPr>
          <w:rFonts w:hint="eastAsia" w:ascii="仿宋" w:hAnsi="仿宋" w:eastAsia="仿宋" w:cs="Times New Roman"/>
          <w:sz w:val="28"/>
          <w:szCs w:val="28"/>
          <w:lang w:eastAsia="zh-CN"/>
        </w:rPr>
      </w:pPr>
    </w:p>
    <w:p>
      <w:pPr>
        <w:spacing w:line="520" w:lineRule="exact"/>
        <w:ind w:firstLine="560" w:firstLineChars="200"/>
        <w:jc w:val="both"/>
        <w:rPr>
          <w:rFonts w:hint="eastAsia" w:ascii="仿宋" w:hAnsi="仿宋" w:eastAsia="仿宋" w:cs="Times New Roman"/>
          <w:sz w:val="28"/>
          <w:szCs w:val="28"/>
          <w:lang w:eastAsia="zh-CN"/>
        </w:rPr>
      </w:pPr>
    </w:p>
    <w:p>
      <w:pPr>
        <w:spacing w:line="520" w:lineRule="exact"/>
        <w:ind w:firstLine="560" w:firstLineChars="200"/>
        <w:jc w:val="both"/>
        <w:rPr>
          <w:rFonts w:hint="eastAsia" w:ascii="仿宋" w:hAnsi="仿宋" w:eastAsia="仿宋" w:cs="Times New Roman"/>
          <w:sz w:val="28"/>
          <w:szCs w:val="28"/>
          <w:lang w:eastAsia="zh-CN"/>
        </w:rPr>
      </w:pPr>
    </w:p>
    <w:p>
      <w:pPr>
        <w:spacing w:line="520" w:lineRule="exact"/>
        <w:ind w:firstLine="560" w:firstLineChars="200"/>
        <w:jc w:val="both"/>
        <w:rPr>
          <w:rFonts w:hint="eastAsia" w:ascii="仿宋" w:hAnsi="仿宋" w:eastAsia="仿宋" w:cs="Times New Roman"/>
          <w:sz w:val="28"/>
          <w:szCs w:val="28"/>
          <w:lang w:eastAsia="zh-CN"/>
        </w:rPr>
      </w:pPr>
    </w:p>
    <w:p>
      <w:pPr>
        <w:spacing w:line="520" w:lineRule="exact"/>
        <w:ind w:firstLine="560" w:firstLineChars="200"/>
        <w:jc w:val="both"/>
        <w:rPr>
          <w:rFonts w:hint="default" w:ascii="仿宋" w:hAnsi="仿宋" w:eastAsia="仿宋" w:cs="Times New Roman"/>
          <w:sz w:val="28"/>
          <w:szCs w:val="28"/>
          <w:lang w:val="en-US" w:eastAsia="zh-CN"/>
        </w:rPr>
      </w:pPr>
      <w:r>
        <w:rPr>
          <w:rFonts w:hint="eastAsia" w:ascii="仿宋" w:hAnsi="仿宋" w:eastAsia="仿宋" w:cs="Times New Roman"/>
          <w:sz w:val="28"/>
          <w:szCs w:val="28"/>
          <w:lang w:eastAsia="zh-CN"/>
        </w:rPr>
        <w:t>申报过程中，如有疑问，联系</w:t>
      </w:r>
      <w:r>
        <w:rPr>
          <w:rFonts w:hint="eastAsia" w:ascii="仿宋" w:hAnsi="仿宋" w:eastAsia="仿宋" w:cs="Times New Roman"/>
          <w:sz w:val="28"/>
          <w:szCs w:val="28"/>
          <w:lang w:val="en-US" w:eastAsia="zh-CN"/>
        </w:rPr>
        <w:t>罗老师5136575。</w:t>
      </w:r>
    </w:p>
    <w:p>
      <w:pPr>
        <w:widowControl/>
        <w:shd w:val="clear" w:color="auto" w:fill="FFFFFF"/>
        <w:spacing w:line="560" w:lineRule="exact"/>
        <w:ind w:firstLine="560"/>
        <w:jc w:val="left"/>
        <w:rPr>
          <w:rFonts w:hint="eastAsia" w:ascii="仿宋" w:hAnsi="仿宋" w:eastAsia="仿宋" w:cs="宋体"/>
          <w:kern w:val="0"/>
          <w:sz w:val="28"/>
          <w:szCs w:val="28"/>
          <w:lang w:eastAsia="zh-CN"/>
        </w:rPr>
      </w:pPr>
    </w:p>
    <w:p>
      <w:pPr>
        <w:widowControl/>
        <w:shd w:val="clear" w:color="auto" w:fill="FFFFFF"/>
        <w:spacing w:line="560" w:lineRule="exact"/>
        <w:jc w:val="left"/>
        <w:rPr>
          <w:rFonts w:hint="eastAsia" w:ascii="仿宋" w:hAnsi="仿宋" w:eastAsia="仿宋" w:cs="宋体"/>
          <w:kern w:val="0"/>
          <w:sz w:val="28"/>
          <w:szCs w:val="28"/>
          <w:lang w:val="en-US" w:eastAsia="zh-CN"/>
        </w:rPr>
      </w:pPr>
    </w:p>
    <w:p>
      <w:pPr>
        <w:widowControl/>
        <w:shd w:val="clear" w:color="auto" w:fill="FFFFFF"/>
        <w:spacing w:line="560" w:lineRule="exact"/>
        <w:jc w:val="both"/>
        <w:rPr>
          <w:rFonts w:hint="eastAsia" w:ascii="仿宋" w:hAnsi="仿宋" w:eastAsia="仿宋" w:cs="宋体"/>
          <w:kern w:val="0"/>
          <w:sz w:val="28"/>
          <w:szCs w:val="28"/>
        </w:rPr>
      </w:pPr>
    </w:p>
    <w:p>
      <w:pPr>
        <w:spacing w:line="520" w:lineRule="exact"/>
        <w:jc w:val="both"/>
        <w:rPr>
          <w:rFonts w:hint="eastAsia" w:ascii="仿宋" w:hAnsi="仿宋" w:eastAsia="仿宋" w:cs="Times New Roman"/>
          <w:sz w:val="28"/>
          <w:szCs w:val="28"/>
        </w:rPr>
      </w:pPr>
      <w:r>
        <w:rPr>
          <w:rFonts w:hint="eastAsia" w:ascii="仿宋" w:hAnsi="仿宋" w:eastAsia="仿宋" w:cs="Times New Roman"/>
          <w:sz w:val="28"/>
          <w:szCs w:val="28"/>
        </w:rPr>
        <w:t>附件：1.2023年省级一流本科课程申报说明</w:t>
      </w:r>
    </w:p>
    <w:p>
      <w:pPr>
        <w:spacing w:line="520" w:lineRule="exact"/>
        <w:jc w:val="left"/>
        <w:rPr>
          <w:rFonts w:hint="eastAsia" w:ascii="仿宋" w:hAnsi="仿宋" w:eastAsia="仿宋" w:cs="Times New Roman"/>
          <w:sz w:val="28"/>
          <w:szCs w:val="28"/>
        </w:rPr>
      </w:pPr>
      <w:r>
        <w:rPr>
          <w:rFonts w:hint="eastAsia" w:ascii="仿宋" w:hAnsi="仿宋" w:eastAsia="仿宋" w:cs="Times New Roman"/>
          <w:sz w:val="28"/>
          <w:szCs w:val="28"/>
        </w:rPr>
        <w:t xml:space="preserve">   </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rPr>
        <w:t>2.2023年省级一流本科课程申报限额表</w:t>
      </w:r>
    </w:p>
    <w:p>
      <w:pPr>
        <w:spacing w:line="520" w:lineRule="exact"/>
        <w:jc w:val="left"/>
        <w:rPr>
          <w:rFonts w:hint="eastAsia" w:ascii="仿宋" w:hAnsi="仿宋" w:eastAsia="仿宋" w:cs="Times New Roman"/>
          <w:sz w:val="28"/>
          <w:szCs w:val="28"/>
        </w:rPr>
      </w:pPr>
      <w:r>
        <w:rPr>
          <w:rFonts w:hint="eastAsia" w:ascii="仿宋" w:hAnsi="仿宋" w:eastAsia="仿宋" w:cs="Times New Roman"/>
          <w:sz w:val="28"/>
          <w:szCs w:val="28"/>
        </w:rPr>
        <w:t xml:space="preserve">      3.2023年省级一流本科课程申报书</w:t>
      </w:r>
    </w:p>
    <w:p>
      <w:pPr>
        <w:spacing w:line="520" w:lineRule="exact"/>
        <w:ind w:firstLine="840" w:firstLineChars="300"/>
        <w:jc w:val="left"/>
        <w:rPr>
          <w:rFonts w:ascii="仿宋" w:hAnsi="仿宋" w:eastAsia="仿宋" w:cs="Times New Roman"/>
          <w:sz w:val="28"/>
          <w:szCs w:val="28"/>
        </w:rPr>
      </w:pPr>
      <w:r>
        <w:rPr>
          <w:rFonts w:hint="eastAsia" w:ascii="仿宋" w:hAnsi="仿宋" w:eastAsia="仿宋" w:cs="Times New Roman"/>
          <w:sz w:val="28"/>
          <w:szCs w:val="28"/>
        </w:rPr>
        <w:t>4.</w:t>
      </w:r>
      <w:r>
        <w:rPr>
          <w:rFonts w:ascii="仿宋" w:hAnsi="仿宋" w:eastAsia="仿宋" w:cs="Times New Roman"/>
          <w:sz w:val="28"/>
          <w:szCs w:val="28"/>
        </w:rPr>
        <w:t>202</w:t>
      </w:r>
      <w:r>
        <w:rPr>
          <w:rFonts w:hint="eastAsia" w:ascii="仿宋" w:hAnsi="仿宋" w:eastAsia="仿宋" w:cs="Times New Roman"/>
          <w:sz w:val="28"/>
          <w:szCs w:val="28"/>
        </w:rPr>
        <w:t>3</w:t>
      </w:r>
      <w:r>
        <w:rPr>
          <w:rFonts w:ascii="仿宋" w:hAnsi="仿宋" w:eastAsia="仿宋" w:cs="Times New Roman"/>
          <w:sz w:val="28"/>
          <w:szCs w:val="28"/>
        </w:rPr>
        <w:t>年省级一流本科课程审查表</w:t>
      </w:r>
    </w:p>
    <w:p>
      <w:pPr>
        <w:spacing w:line="520" w:lineRule="exact"/>
        <w:ind w:firstLine="840" w:firstLineChars="300"/>
        <w:jc w:val="left"/>
        <w:rPr>
          <w:rFonts w:hint="eastAsia" w:ascii="仿宋" w:hAnsi="仿宋" w:eastAsia="仿宋" w:cs="Times New Roman"/>
          <w:sz w:val="28"/>
          <w:szCs w:val="28"/>
        </w:rPr>
      </w:pPr>
      <w:r>
        <w:rPr>
          <w:rFonts w:hint="eastAsia" w:ascii="仿宋" w:hAnsi="仿宋" w:eastAsia="仿宋" w:cs="Times New Roman"/>
          <w:sz w:val="28"/>
          <w:szCs w:val="28"/>
        </w:rPr>
        <w:t>5.2023年省级一流本科课程申报汇总表</w:t>
      </w:r>
    </w:p>
    <w:p>
      <w:pPr>
        <w:spacing w:line="520" w:lineRule="exact"/>
        <w:ind w:firstLine="840" w:firstLineChars="300"/>
        <w:jc w:val="left"/>
        <w:rPr>
          <w:rFonts w:hint="eastAsia" w:ascii="仿宋" w:hAnsi="仿宋" w:eastAsia="仿宋" w:cs="Times New Roman"/>
          <w:sz w:val="28"/>
          <w:szCs w:val="28"/>
        </w:rPr>
      </w:pPr>
      <w:r>
        <w:rPr>
          <w:rFonts w:hint="eastAsia" w:ascii="仿宋" w:hAnsi="仿宋" w:eastAsia="仿宋" w:cs="Times New Roman"/>
          <w:sz w:val="28"/>
          <w:szCs w:val="28"/>
          <w:lang w:val="en-US" w:eastAsia="zh-CN"/>
        </w:rPr>
        <w:t>6</w:t>
      </w:r>
      <w:r>
        <w:rPr>
          <w:rFonts w:hint="eastAsia" w:ascii="仿宋" w:hAnsi="仿宋" w:eastAsia="仿宋" w:cs="Times New Roman"/>
          <w:sz w:val="28"/>
          <w:szCs w:val="28"/>
        </w:rPr>
        <w:t>.教师申报操作手册（校内平台）</w:t>
      </w:r>
    </w:p>
    <w:p>
      <w:pPr>
        <w:spacing w:line="520" w:lineRule="exact"/>
        <w:ind w:firstLine="840" w:firstLineChars="300"/>
        <w:jc w:val="left"/>
        <w:rPr>
          <w:rFonts w:hint="eastAsia" w:ascii="仿宋" w:hAnsi="仿宋" w:eastAsia="仿宋" w:cs="Times New Roman"/>
          <w:sz w:val="28"/>
          <w:szCs w:val="28"/>
        </w:rPr>
      </w:pPr>
      <w:r>
        <w:rPr>
          <w:rFonts w:hint="eastAsia" w:ascii="仿宋" w:hAnsi="仿宋" w:eastAsia="仿宋" w:cs="Times New Roman"/>
          <w:sz w:val="28"/>
          <w:szCs w:val="28"/>
          <w:lang w:val="en-US" w:eastAsia="zh-CN"/>
        </w:rPr>
        <w:t>7</w:t>
      </w:r>
      <w:r>
        <w:rPr>
          <w:rFonts w:hint="eastAsia" w:ascii="仿宋" w:hAnsi="仿宋" w:eastAsia="仿宋" w:cs="Times New Roman"/>
          <w:sz w:val="28"/>
          <w:szCs w:val="28"/>
        </w:rPr>
        <w:t>.教师申报操作手册（省上平台）</w:t>
      </w:r>
    </w:p>
    <w:p>
      <w:pPr>
        <w:spacing w:line="520" w:lineRule="exact"/>
        <w:jc w:val="left"/>
        <w:rPr>
          <w:rFonts w:hint="eastAsia" w:ascii="仿宋" w:hAnsi="仿宋" w:eastAsia="仿宋" w:cs="Times New Roman"/>
          <w:sz w:val="28"/>
          <w:szCs w:val="28"/>
        </w:rPr>
      </w:pPr>
      <w:r>
        <w:rPr>
          <w:rFonts w:hint="eastAsia" w:ascii="仿宋" w:hAnsi="仿宋" w:eastAsia="仿宋" w:cs="Times New Roman"/>
          <w:sz w:val="28"/>
          <w:szCs w:val="28"/>
        </w:rPr>
        <w:t xml:space="preserve">                              </w:t>
      </w:r>
    </w:p>
    <w:p>
      <w:pPr>
        <w:spacing w:line="520" w:lineRule="exact"/>
        <w:jc w:val="left"/>
        <w:rPr>
          <w:rFonts w:hint="eastAsia" w:ascii="仿宋" w:hAnsi="仿宋" w:eastAsia="仿宋" w:cs="Times New Roman"/>
          <w:sz w:val="28"/>
          <w:szCs w:val="28"/>
        </w:rPr>
      </w:pPr>
    </w:p>
    <w:p>
      <w:pPr>
        <w:spacing w:line="520" w:lineRule="exact"/>
        <w:ind w:right="160"/>
        <w:jc w:val="right"/>
        <w:rPr>
          <w:rFonts w:hint="eastAsia" w:ascii="仿宋" w:hAnsi="仿宋" w:eastAsia="仿宋" w:cs="仿宋_GB2312"/>
          <w:sz w:val="28"/>
          <w:szCs w:val="28"/>
          <w:lang w:eastAsia="zh-CN"/>
        </w:rPr>
      </w:pPr>
    </w:p>
    <w:p>
      <w:pPr>
        <w:spacing w:line="520" w:lineRule="exact"/>
        <w:ind w:right="160"/>
        <w:jc w:val="right"/>
        <w:rPr>
          <w:rFonts w:hint="eastAsia" w:ascii="仿宋" w:hAnsi="仿宋" w:eastAsia="仿宋" w:cs="仿宋_GB2312"/>
          <w:sz w:val="28"/>
          <w:szCs w:val="28"/>
          <w:lang w:eastAsia="zh-CN"/>
        </w:rPr>
      </w:pPr>
      <w:r>
        <w:rPr>
          <w:rFonts w:hint="eastAsia" w:ascii="仿宋" w:hAnsi="仿宋" w:eastAsia="仿宋" w:cs="仿宋_GB2312"/>
          <w:sz w:val="28"/>
          <w:szCs w:val="28"/>
          <w:lang w:eastAsia="zh-CN"/>
        </w:rPr>
        <w:t>武夷学院教务处</w:t>
      </w:r>
    </w:p>
    <w:p>
      <w:pPr>
        <w:spacing w:line="520" w:lineRule="exact"/>
        <w:ind w:right="160"/>
        <w:jc w:val="right"/>
        <w:rPr>
          <w:rFonts w:ascii="仿宋" w:hAnsi="仿宋" w:eastAsia="仿宋" w:cs="仿宋_GB2312"/>
          <w:sz w:val="28"/>
          <w:szCs w:val="28"/>
        </w:rPr>
      </w:pPr>
      <w:r>
        <w:rPr>
          <w:rFonts w:hint="eastAsia" w:ascii="仿宋" w:hAnsi="仿宋" w:eastAsia="仿宋" w:cs="仿宋_GB2312"/>
          <w:sz w:val="28"/>
          <w:szCs w:val="28"/>
        </w:rPr>
        <w:t>20</w:t>
      </w:r>
      <w:r>
        <w:rPr>
          <w:rFonts w:ascii="仿宋" w:hAnsi="仿宋" w:eastAsia="仿宋" w:cs="仿宋_GB2312"/>
          <w:sz w:val="28"/>
          <w:szCs w:val="28"/>
        </w:rPr>
        <w:t>2</w:t>
      </w:r>
      <w:r>
        <w:rPr>
          <w:rFonts w:hint="eastAsia" w:ascii="仿宋" w:hAnsi="仿宋" w:eastAsia="仿宋" w:cs="仿宋_GB2312"/>
          <w:sz w:val="28"/>
          <w:szCs w:val="28"/>
          <w:lang w:val="en-US" w:eastAsia="zh-CN"/>
        </w:rPr>
        <w:t>3</w:t>
      </w:r>
      <w:r>
        <w:rPr>
          <w:rFonts w:hint="eastAsia" w:ascii="仿宋" w:hAnsi="仿宋" w:eastAsia="仿宋" w:cs="仿宋_GB2312"/>
          <w:sz w:val="28"/>
          <w:szCs w:val="28"/>
        </w:rPr>
        <w:t>年</w:t>
      </w:r>
      <w:r>
        <w:rPr>
          <w:rFonts w:hint="eastAsia" w:ascii="仿宋" w:hAnsi="仿宋" w:eastAsia="仿宋" w:cs="仿宋_GB2312"/>
          <w:sz w:val="28"/>
          <w:szCs w:val="28"/>
          <w:lang w:val="en-US" w:eastAsia="zh-CN"/>
        </w:rPr>
        <w:t>6</w:t>
      </w:r>
      <w:r>
        <w:rPr>
          <w:rFonts w:hint="eastAsia" w:ascii="仿宋" w:hAnsi="仿宋" w:eastAsia="仿宋" w:cs="仿宋_GB2312"/>
          <w:sz w:val="28"/>
          <w:szCs w:val="28"/>
        </w:rPr>
        <w:t>月</w:t>
      </w:r>
      <w:r>
        <w:rPr>
          <w:rFonts w:hint="eastAsia" w:ascii="仿宋" w:hAnsi="仿宋" w:eastAsia="仿宋" w:cs="仿宋_GB2312"/>
          <w:sz w:val="28"/>
          <w:szCs w:val="28"/>
          <w:lang w:val="en-US" w:eastAsia="zh-CN"/>
        </w:rPr>
        <w:t>15</w:t>
      </w:r>
      <w:r>
        <w:rPr>
          <w:rFonts w:hint="eastAsia" w:ascii="仿宋" w:hAnsi="仿宋" w:eastAsia="仿宋" w:cs="仿宋_GB2312"/>
          <w:sz w:val="28"/>
          <w:szCs w:val="28"/>
        </w:rPr>
        <w:t>日</w:t>
      </w:r>
    </w:p>
    <w:sectPr>
      <w:footerReference r:id="rId3" w:type="default"/>
      <w:pgSz w:w="11906" w:h="16838"/>
      <w:pgMar w:top="1440" w:right="1077" w:bottom="1440" w:left="1077" w:header="851" w:footer="567"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10299267"/>
      <w:docPartObj>
        <w:docPartGallery w:val="autotext"/>
      </w:docPartObj>
    </w:sdtPr>
    <w:sdtEndPr>
      <w:rPr>
        <w:sz w:val="24"/>
      </w:rPr>
    </w:sdtEndPr>
    <w:sdtContent>
      <w:p>
        <w:pPr>
          <w:pStyle w:val="4"/>
          <w:jc w:val="center"/>
          <w:rPr>
            <w:sz w:val="24"/>
          </w:rPr>
        </w:pPr>
        <w:r>
          <w:rPr>
            <w:sz w:val="24"/>
          </w:rPr>
          <w:fldChar w:fldCharType="begin"/>
        </w:r>
        <w:r>
          <w:rPr>
            <w:sz w:val="24"/>
          </w:rPr>
          <w:instrText xml:space="preserve">PAGE   \* MERGEFORMAT</w:instrText>
        </w:r>
        <w:r>
          <w:rPr>
            <w:sz w:val="24"/>
          </w:rPr>
          <w:fldChar w:fldCharType="separate"/>
        </w:r>
        <w:r>
          <w:rPr>
            <w:sz w:val="24"/>
            <w:lang w:val="zh-CN"/>
          </w:rPr>
          <w:t>4</w:t>
        </w:r>
        <w:r>
          <w:rPr>
            <w:sz w:val="24"/>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JiNWE3OWYyOWZiZWFlMDU3YzZiM2FhN2ZlMDUwMzcifQ=="/>
  </w:docVars>
  <w:rsids>
    <w:rsidRoot w:val="00786F06"/>
    <w:rsid w:val="00003119"/>
    <w:rsid w:val="00014AEB"/>
    <w:rsid w:val="00014F4B"/>
    <w:rsid w:val="0001680F"/>
    <w:rsid w:val="00021EBD"/>
    <w:rsid w:val="00024DBF"/>
    <w:rsid w:val="000252C9"/>
    <w:rsid w:val="00034ADF"/>
    <w:rsid w:val="0004004A"/>
    <w:rsid w:val="00046C24"/>
    <w:rsid w:val="00051534"/>
    <w:rsid w:val="00052A34"/>
    <w:rsid w:val="00067518"/>
    <w:rsid w:val="000936C9"/>
    <w:rsid w:val="000B1A86"/>
    <w:rsid w:val="000B6A63"/>
    <w:rsid w:val="000C75CF"/>
    <w:rsid w:val="000D1C20"/>
    <w:rsid w:val="000D6273"/>
    <w:rsid w:val="000E000C"/>
    <w:rsid w:val="000F4103"/>
    <w:rsid w:val="001140E4"/>
    <w:rsid w:val="001179DE"/>
    <w:rsid w:val="001313C0"/>
    <w:rsid w:val="00145461"/>
    <w:rsid w:val="00154E9A"/>
    <w:rsid w:val="00155551"/>
    <w:rsid w:val="00174190"/>
    <w:rsid w:val="00187F3A"/>
    <w:rsid w:val="001A61AC"/>
    <w:rsid w:val="001B785C"/>
    <w:rsid w:val="001B7EDC"/>
    <w:rsid w:val="001C58F1"/>
    <w:rsid w:val="001C723E"/>
    <w:rsid w:val="001E1FA5"/>
    <w:rsid w:val="001E3E6A"/>
    <w:rsid w:val="001E4F8E"/>
    <w:rsid w:val="001F0911"/>
    <w:rsid w:val="001F280D"/>
    <w:rsid w:val="002037D4"/>
    <w:rsid w:val="00212186"/>
    <w:rsid w:val="00250973"/>
    <w:rsid w:val="002556B0"/>
    <w:rsid w:val="00267111"/>
    <w:rsid w:val="002863F1"/>
    <w:rsid w:val="002937BC"/>
    <w:rsid w:val="00293C93"/>
    <w:rsid w:val="002E09CD"/>
    <w:rsid w:val="002F2328"/>
    <w:rsid w:val="00310077"/>
    <w:rsid w:val="003340B9"/>
    <w:rsid w:val="00335080"/>
    <w:rsid w:val="00361A62"/>
    <w:rsid w:val="003621BB"/>
    <w:rsid w:val="003658B1"/>
    <w:rsid w:val="00375576"/>
    <w:rsid w:val="00396659"/>
    <w:rsid w:val="003D0E3A"/>
    <w:rsid w:val="003D43E2"/>
    <w:rsid w:val="003D4564"/>
    <w:rsid w:val="0041322E"/>
    <w:rsid w:val="004170CD"/>
    <w:rsid w:val="004221C7"/>
    <w:rsid w:val="0042791F"/>
    <w:rsid w:val="004419C9"/>
    <w:rsid w:val="00460C9E"/>
    <w:rsid w:val="00476198"/>
    <w:rsid w:val="0048011E"/>
    <w:rsid w:val="004858DA"/>
    <w:rsid w:val="004B5FA0"/>
    <w:rsid w:val="004B7CDD"/>
    <w:rsid w:val="004B7E30"/>
    <w:rsid w:val="004C28C0"/>
    <w:rsid w:val="004D3910"/>
    <w:rsid w:val="004D48BB"/>
    <w:rsid w:val="004F6DBB"/>
    <w:rsid w:val="005042F5"/>
    <w:rsid w:val="0054533F"/>
    <w:rsid w:val="00554DDD"/>
    <w:rsid w:val="0055783F"/>
    <w:rsid w:val="00577044"/>
    <w:rsid w:val="00581399"/>
    <w:rsid w:val="00587568"/>
    <w:rsid w:val="005A2A41"/>
    <w:rsid w:val="005B0282"/>
    <w:rsid w:val="005B0EE9"/>
    <w:rsid w:val="005D6016"/>
    <w:rsid w:val="006106EB"/>
    <w:rsid w:val="00620267"/>
    <w:rsid w:val="00633FAB"/>
    <w:rsid w:val="006438DE"/>
    <w:rsid w:val="00643CD4"/>
    <w:rsid w:val="00650BCF"/>
    <w:rsid w:val="006539C0"/>
    <w:rsid w:val="00691B79"/>
    <w:rsid w:val="00696BC9"/>
    <w:rsid w:val="006A04E5"/>
    <w:rsid w:val="006A2F5C"/>
    <w:rsid w:val="006A7194"/>
    <w:rsid w:val="006E0FDC"/>
    <w:rsid w:val="006F013A"/>
    <w:rsid w:val="007102B8"/>
    <w:rsid w:val="0073248C"/>
    <w:rsid w:val="00732DB1"/>
    <w:rsid w:val="00733BB2"/>
    <w:rsid w:val="00736556"/>
    <w:rsid w:val="00750139"/>
    <w:rsid w:val="00760BB8"/>
    <w:rsid w:val="007664AB"/>
    <w:rsid w:val="007757D5"/>
    <w:rsid w:val="007848C4"/>
    <w:rsid w:val="00786F06"/>
    <w:rsid w:val="00791119"/>
    <w:rsid w:val="007917D0"/>
    <w:rsid w:val="007C4C8E"/>
    <w:rsid w:val="0080558F"/>
    <w:rsid w:val="0081668A"/>
    <w:rsid w:val="008223EC"/>
    <w:rsid w:val="008274A3"/>
    <w:rsid w:val="008626C2"/>
    <w:rsid w:val="00865352"/>
    <w:rsid w:val="0087016B"/>
    <w:rsid w:val="00870333"/>
    <w:rsid w:val="00894931"/>
    <w:rsid w:val="008A411D"/>
    <w:rsid w:val="008B3792"/>
    <w:rsid w:val="008C2602"/>
    <w:rsid w:val="008C542C"/>
    <w:rsid w:val="008F288E"/>
    <w:rsid w:val="008F604C"/>
    <w:rsid w:val="009512F6"/>
    <w:rsid w:val="009540B0"/>
    <w:rsid w:val="00966E56"/>
    <w:rsid w:val="00983ED2"/>
    <w:rsid w:val="00986E74"/>
    <w:rsid w:val="00995CBB"/>
    <w:rsid w:val="009A764B"/>
    <w:rsid w:val="009B01EE"/>
    <w:rsid w:val="00A11667"/>
    <w:rsid w:val="00A16498"/>
    <w:rsid w:val="00A209F4"/>
    <w:rsid w:val="00A27FB7"/>
    <w:rsid w:val="00A565D7"/>
    <w:rsid w:val="00A60D02"/>
    <w:rsid w:val="00A84D43"/>
    <w:rsid w:val="00A93FE8"/>
    <w:rsid w:val="00AA7978"/>
    <w:rsid w:val="00AD57CE"/>
    <w:rsid w:val="00AF5521"/>
    <w:rsid w:val="00AF55B3"/>
    <w:rsid w:val="00B13A6A"/>
    <w:rsid w:val="00B24268"/>
    <w:rsid w:val="00B36441"/>
    <w:rsid w:val="00B4089F"/>
    <w:rsid w:val="00B41018"/>
    <w:rsid w:val="00B44493"/>
    <w:rsid w:val="00B529ED"/>
    <w:rsid w:val="00B63324"/>
    <w:rsid w:val="00B7297E"/>
    <w:rsid w:val="00B8027C"/>
    <w:rsid w:val="00B92CE0"/>
    <w:rsid w:val="00BA06DF"/>
    <w:rsid w:val="00BF40E8"/>
    <w:rsid w:val="00C04056"/>
    <w:rsid w:val="00C20F4C"/>
    <w:rsid w:val="00C350F3"/>
    <w:rsid w:val="00C3527B"/>
    <w:rsid w:val="00C36128"/>
    <w:rsid w:val="00C55EB7"/>
    <w:rsid w:val="00C652CD"/>
    <w:rsid w:val="00C67659"/>
    <w:rsid w:val="00C7457E"/>
    <w:rsid w:val="00C75062"/>
    <w:rsid w:val="00C77CD8"/>
    <w:rsid w:val="00C87544"/>
    <w:rsid w:val="00CC0E49"/>
    <w:rsid w:val="00CC2585"/>
    <w:rsid w:val="00CC6A4F"/>
    <w:rsid w:val="00CE6F57"/>
    <w:rsid w:val="00D11733"/>
    <w:rsid w:val="00D15965"/>
    <w:rsid w:val="00D3207D"/>
    <w:rsid w:val="00D42474"/>
    <w:rsid w:val="00D7121F"/>
    <w:rsid w:val="00D7146B"/>
    <w:rsid w:val="00D7187F"/>
    <w:rsid w:val="00D77080"/>
    <w:rsid w:val="00D94664"/>
    <w:rsid w:val="00DC0686"/>
    <w:rsid w:val="00DC3ACB"/>
    <w:rsid w:val="00DC5F92"/>
    <w:rsid w:val="00DE42DD"/>
    <w:rsid w:val="00E1070F"/>
    <w:rsid w:val="00E10769"/>
    <w:rsid w:val="00E21DBE"/>
    <w:rsid w:val="00E3505A"/>
    <w:rsid w:val="00E459DF"/>
    <w:rsid w:val="00E46E37"/>
    <w:rsid w:val="00E77D22"/>
    <w:rsid w:val="00E90789"/>
    <w:rsid w:val="00EA387D"/>
    <w:rsid w:val="00EC48BE"/>
    <w:rsid w:val="00EE73D6"/>
    <w:rsid w:val="00EF0B36"/>
    <w:rsid w:val="00EF6260"/>
    <w:rsid w:val="00F04523"/>
    <w:rsid w:val="00F33DD2"/>
    <w:rsid w:val="00F420F1"/>
    <w:rsid w:val="00F530D8"/>
    <w:rsid w:val="00F54768"/>
    <w:rsid w:val="00F60629"/>
    <w:rsid w:val="00F755A9"/>
    <w:rsid w:val="00F837AD"/>
    <w:rsid w:val="00F862B5"/>
    <w:rsid w:val="00FB05A6"/>
    <w:rsid w:val="00FB4E24"/>
    <w:rsid w:val="00FB6117"/>
    <w:rsid w:val="00FB685B"/>
    <w:rsid w:val="00FC416E"/>
    <w:rsid w:val="00FD2266"/>
    <w:rsid w:val="00FE21EB"/>
    <w:rsid w:val="00FF5CCB"/>
    <w:rsid w:val="00FF6C6C"/>
    <w:rsid w:val="01B236FD"/>
    <w:rsid w:val="01F9084D"/>
    <w:rsid w:val="036F7B8D"/>
    <w:rsid w:val="05171224"/>
    <w:rsid w:val="05C75CE9"/>
    <w:rsid w:val="07177C01"/>
    <w:rsid w:val="08865C85"/>
    <w:rsid w:val="0DA25662"/>
    <w:rsid w:val="110B01F9"/>
    <w:rsid w:val="125E4B53"/>
    <w:rsid w:val="147865A9"/>
    <w:rsid w:val="15A153AE"/>
    <w:rsid w:val="15D410C2"/>
    <w:rsid w:val="199E6845"/>
    <w:rsid w:val="1C7D54FB"/>
    <w:rsid w:val="1CFE11EF"/>
    <w:rsid w:val="1E9C1F24"/>
    <w:rsid w:val="21B856E5"/>
    <w:rsid w:val="23582CDC"/>
    <w:rsid w:val="252607F1"/>
    <w:rsid w:val="25D0124F"/>
    <w:rsid w:val="27C70430"/>
    <w:rsid w:val="29BD07A9"/>
    <w:rsid w:val="2BA07916"/>
    <w:rsid w:val="2E452F4C"/>
    <w:rsid w:val="33604271"/>
    <w:rsid w:val="34844DFC"/>
    <w:rsid w:val="348A2F11"/>
    <w:rsid w:val="35E0406D"/>
    <w:rsid w:val="3B680569"/>
    <w:rsid w:val="3BB27EDD"/>
    <w:rsid w:val="3ECB6600"/>
    <w:rsid w:val="405A0DE5"/>
    <w:rsid w:val="42CF31F8"/>
    <w:rsid w:val="45FA35A1"/>
    <w:rsid w:val="478E249E"/>
    <w:rsid w:val="49084FED"/>
    <w:rsid w:val="4CCC1EEC"/>
    <w:rsid w:val="4F8B1BBF"/>
    <w:rsid w:val="51F6353C"/>
    <w:rsid w:val="52850E87"/>
    <w:rsid w:val="52B553F4"/>
    <w:rsid w:val="52FA7A10"/>
    <w:rsid w:val="565E6223"/>
    <w:rsid w:val="595F4E7E"/>
    <w:rsid w:val="5CAD1862"/>
    <w:rsid w:val="5D687621"/>
    <w:rsid w:val="61383C79"/>
    <w:rsid w:val="65515201"/>
    <w:rsid w:val="66664CDC"/>
    <w:rsid w:val="6AE30C7C"/>
    <w:rsid w:val="6E56299E"/>
    <w:rsid w:val="70E60563"/>
    <w:rsid w:val="71C97962"/>
    <w:rsid w:val="74DF0134"/>
    <w:rsid w:val="754B7577"/>
    <w:rsid w:val="7E437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semiHidden/>
    <w:unhideWhenUsed/>
    <w:qFormat/>
    <w:uiPriority w:val="99"/>
    <w:pPr>
      <w:ind w:left="100" w:leftChars="2500"/>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未处理的提及1"/>
    <w:basedOn w:val="8"/>
    <w:semiHidden/>
    <w:unhideWhenUsed/>
    <w:qFormat/>
    <w:uiPriority w:val="99"/>
    <w:rPr>
      <w:color w:val="605E5C"/>
      <w:shd w:val="clear" w:color="auto" w:fill="E1DFDD"/>
    </w:rPr>
  </w:style>
  <w:style w:type="character" w:customStyle="1" w:styleId="14">
    <w:name w:val="日期 Char"/>
    <w:basedOn w:val="8"/>
    <w:link w:val="2"/>
    <w:semiHidden/>
    <w:qFormat/>
    <w:uiPriority w:val="99"/>
  </w:style>
  <w:style w:type="paragraph" w:customStyle="1" w:styleId="15">
    <w:name w:val="列出段落1"/>
    <w:basedOn w:val="1"/>
    <w:qFormat/>
    <w:uiPriority w:val="34"/>
    <w:pPr>
      <w:ind w:firstLine="420" w:firstLineChars="200"/>
    </w:pPr>
    <w:rPr>
      <w:rFonts w:ascii="Calibri" w:hAnsi="Calibri" w:eastAsia="宋体" w:cs="Times New Roman"/>
    </w:rPr>
  </w:style>
  <w:style w:type="character" w:customStyle="1" w:styleId="16">
    <w:name w:val="批注框文本 Char"/>
    <w:basedOn w:val="8"/>
    <w:link w:val="3"/>
    <w:semiHidden/>
    <w:qFormat/>
    <w:uiPriority w:val="99"/>
    <w:rPr>
      <w:sz w:val="18"/>
      <w:szCs w:val="18"/>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985</Words>
  <Characters>1058</Characters>
  <Lines>18</Lines>
  <Paragraphs>5</Paragraphs>
  <TotalTime>80</TotalTime>
  <ScaleCrop>false</ScaleCrop>
  <LinksUpToDate>false</LinksUpToDate>
  <CharactersWithSpaces>1101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2020-10-08T01:56:00Z</dcterms:created>
  <dc:creator>fxm</dc:creator>
  <cp:lastModifiedBy>飞雪</cp:lastModifiedBy>
  <cp:lastPrinted>2023-06-15T09:03:29Z</cp:lastPrinted>
  <dcterms:modified xsi:type="dcterms:W3CDTF">2023-06-15T09:14:15Z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9DC4B7F4B16141C59D955293B1D4EF4C</vt:lpwstr>
  </property>
</Properties>
</file>