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D4C7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附件3</w:t>
      </w:r>
    </w:p>
    <w:p w14:paraId="51930F4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val="en-US" w:eastAsia="zh-CN"/>
        </w:rPr>
        <w:t>人工智能赋能教育教学典型案例</w:t>
      </w:r>
    </w:p>
    <w:p w14:paraId="3E9E6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outlineLvl w:val="1"/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教师姓名：</w:t>
      </w:r>
    </w:p>
    <w:p w14:paraId="53BCC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</w:rPr>
        <w:t>案例名称</w:t>
      </w: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：</w:t>
      </w:r>
    </w:p>
    <w:p w14:paraId="2210F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outlineLvl w:val="1"/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主要授课课程：</w:t>
      </w:r>
    </w:p>
    <w:p w14:paraId="54FDA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outlineLvl w:val="1"/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面向年级专业：</w:t>
      </w:r>
    </w:p>
    <w:p w14:paraId="17DB8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教学理念：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（提炼1-2句核心教学理念，如“以生为本，以技赋能，让人工智能服务于高效教学，让思政元素浸润于课堂全程”“深耕产教融合，立足四新要求，培育兼具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专业素养与创新能力的复合型人才”）</w:t>
      </w:r>
    </w:p>
    <w:p w14:paraId="0DE2F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个人风采：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简要介绍教学特色、教研能力、师德师风的亮点，150-200字，适配公众号推广，语言简洁有感染力，示例：深耕教学一线XX年，始终聚焦人工智能赋能教学与课程思政融合，注重理论与实践结合、知识与素养并重。主持多项教学改革项目，创新设计特色教学场景，善于引导学生主动探究、学以致用，先后荣获XX教学奖励、XX荣誉称号，深受学生、同事及行业认可，用匠心践行育人使命，用专业诠释师者担当。）</w:t>
      </w:r>
    </w:p>
    <w:p w14:paraId="72F007D5">
      <w:pPr>
        <w:ind w:firstLine="643" w:firstLineChars="200"/>
        <w:jc w:val="both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lang w:val="en-US" w:eastAsia="zh-CN"/>
        </w:rPr>
        <w:t>以下内容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</w:rPr>
        <w:t>排版要求：正文（仿宋_GB2312 三号 ，单倍行距），一级标题（黑体三号）二级、三级标题（</w:t>
      </w:r>
      <w:r>
        <w:rPr>
          <w:rFonts w:hint="eastAsia" w:ascii="黑体" w:hAnsi="黑体" w:eastAsia="黑体" w:cs="黑体"/>
          <w:b/>
          <w:bCs/>
          <w:color w:val="FF0000"/>
          <w:spacing w:val="-1"/>
          <w:sz w:val="32"/>
          <w:szCs w:val="32"/>
        </w:rPr>
        <w:t>楷体</w:t>
      </w:r>
      <w:r>
        <w:rPr>
          <w:rFonts w:hint="eastAsia" w:ascii="黑体" w:hAnsi="黑体" w:eastAsia="黑体" w:cs="黑体"/>
          <w:b/>
          <w:bCs/>
          <w:color w:val="FF0000"/>
          <w:spacing w:val="-2"/>
          <w:sz w:val="32"/>
          <w:szCs w:val="32"/>
        </w:rPr>
        <w:t>_</w:t>
      </w:r>
      <w:r>
        <w:rPr>
          <w:rFonts w:hint="eastAsia" w:ascii="黑体" w:hAnsi="黑体" w:eastAsia="黑体" w:cs="黑体"/>
          <w:b/>
          <w:bCs/>
          <w:color w:val="FF0000"/>
          <w:spacing w:val="1"/>
          <w:sz w:val="32"/>
          <w:szCs w:val="32"/>
        </w:rPr>
        <w:t>G</w:t>
      </w:r>
      <w:r>
        <w:rPr>
          <w:rFonts w:hint="eastAsia" w:ascii="黑体" w:hAnsi="黑体" w:eastAsia="黑体" w:cs="黑体"/>
          <w:b/>
          <w:bCs/>
          <w:color w:val="FF0000"/>
          <w:spacing w:val="-2"/>
          <w:sz w:val="32"/>
          <w:szCs w:val="32"/>
        </w:rPr>
        <w:t>B</w:t>
      </w:r>
      <w:r>
        <w:rPr>
          <w:rFonts w:hint="eastAsia" w:ascii="黑体" w:hAnsi="黑体" w:eastAsia="黑体" w:cs="黑体"/>
          <w:b/>
          <w:bCs/>
          <w:color w:val="FF0000"/>
          <w:spacing w:val="1"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color w:val="FF0000"/>
          <w:spacing w:val="-2"/>
          <w:sz w:val="32"/>
          <w:szCs w:val="32"/>
        </w:rPr>
        <w:t>3</w:t>
      </w:r>
      <w:r>
        <w:rPr>
          <w:rFonts w:hint="eastAsia" w:ascii="黑体" w:hAnsi="黑体" w:eastAsia="黑体" w:cs="黑体"/>
          <w:b/>
          <w:bCs/>
          <w:color w:val="FF0000"/>
          <w:spacing w:val="1"/>
          <w:sz w:val="32"/>
          <w:szCs w:val="32"/>
        </w:rPr>
        <w:t>1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color w:val="FF0000"/>
          <w:spacing w:val="-26"/>
          <w:sz w:val="32"/>
          <w:szCs w:val="32"/>
        </w:rPr>
        <w:t xml:space="preserve"> 三号）</w:t>
      </w:r>
    </w:p>
    <w:p w14:paraId="0F58C679">
      <w:pPr>
        <w:pStyle w:val="2"/>
        <w:ind w:firstLine="643" w:firstLineChars="200"/>
        <w:jc w:val="both"/>
        <w:rPr>
          <w:rFonts w:ascii="仿宋" w:hAnsi="仿宋" w:eastAsia="仿宋" w:cs="仿宋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一、案例简介</w:t>
      </w:r>
      <w:r>
        <w:rPr>
          <w:rFonts w:hint="eastAsia" w:ascii="仿宋_GB2312" w:eastAsia="仿宋_GB2312"/>
          <w:color w:val="323232"/>
          <w:shd w:val="clear" w:color="auto" w:fill="FFFFFF"/>
        </w:rPr>
        <w:t>（</w:t>
      </w:r>
      <w:r>
        <w:rPr>
          <w:rFonts w:hint="eastAsia" w:ascii="仿宋_GB2312" w:eastAsia="仿宋_GB2312"/>
          <w:color w:val="323232"/>
          <w:shd w:val="clear" w:color="auto" w:fill="FFFFFF"/>
          <w:lang w:val="en-US" w:eastAsia="zh-CN"/>
        </w:rPr>
        <w:t>简要概述案例的授课情况，如</w:t>
      </w:r>
      <w:r>
        <w:rPr>
          <w:rFonts w:hint="eastAsia" w:ascii="仿宋_GB2312" w:eastAsia="仿宋_GB2312"/>
          <w:color w:val="323232"/>
          <w:shd w:val="clear" w:color="auto" w:fill="FFFFFF"/>
        </w:rPr>
        <w:t>建设时间、课程性质、面向对象等课程基本信息</w:t>
      </w:r>
      <w:r>
        <w:rPr>
          <w:rFonts w:hint="eastAsia" w:ascii="仿宋_GB2312" w:eastAsia="仿宋_GB2312"/>
          <w:color w:val="323232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color w:val="323232"/>
          <w:shd w:val="clear" w:color="auto" w:fill="FFFFFF"/>
        </w:rPr>
        <w:t>300字以内</w:t>
      </w:r>
      <w:r>
        <w:rPr>
          <w:rFonts w:hint="eastAsia" w:ascii="仿宋_GB2312" w:hAnsi="宋体" w:eastAsia="仿宋_GB2312" w:cs="宋体"/>
          <w:color w:val="323232"/>
          <w:shd w:val="clear" w:color="auto" w:fill="FFFFFF"/>
          <w:lang w:eastAsia="zh-CN"/>
        </w:rPr>
        <w:t>。</w:t>
      </w:r>
      <w:r>
        <w:rPr>
          <w:rFonts w:hint="eastAsia" w:ascii="仿宋_GB2312" w:eastAsia="仿宋_GB2312"/>
          <w:color w:val="323232"/>
          <w:shd w:val="clear" w:color="auto" w:fill="FFFFFF"/>
        </w:rPr>
        <w:t>）</w:t>
      </w:r>
    </w:p>
    <w:p w14:paraId="6D5AC007">
      <w:pPr>
        <w:pStyle w:val="2"/>
        <w:ind w:firstLine="643" w:firstLineChars="200"/>
        <w:jc w:val="both"/>
        <w:rPr>
          <w:rFonts w:hint="eastAsia" w:ascii="仿宋_GB2312" w:hAnsi="仿宋_GB2312" w:eastAsia="仿宋_GB2312" w:cs="仿宋_GB2312"/>
          <w:b/>
          <w:color w:val="auto"/>
          <w:sz w:val="30"/>
        </w:rPr>
      </w:pPr>
      <w:r>
        <w:rPr>
          <w:rFonts w:hint="eastAsia" w:ascii="黑体" w:hAnsi="黑体" w:eastAsia="黑体" w:cs="黑体"/>
          <w:b/>
          <w:bCs/>
        </w:rPr>
        <w:t>二、</w:t>
      </w:r>
      <w:r>
        <w:rPr>
          <w:rFonts w:hint="eastAsia" w:ascii="黑体" w:hAnsi="黑体" w:eastAsia="黑体" w:cs="黑体"/>
          <w:b/>
          <w:bCs/>
          <w:lang w:val="en-US" w:eastAsia="zh-CN"/>
        </w:rPr>
        <w:t>案例背景</w:t>
      </w:r>
      <w:r>
        <w:rPr>
          <w:rFonts w:hint="eastAsia" w:ascii="仿宋_GB2312" w:eastAsia="仿宋_GB2312"/>
          <w:color w:val="323232"/>
          <w:shd w:val="clear" w:color="auto" w:fill="FFFFFF"/>
        </w:rPr>
        <w:t>（重点阐述所解决的</w:t>
      </w:r>
      <w:r>
        <w:rPr>
          <w:rFonts w:hint="eastAsia" w:ascii="仿宋_GB2312" w:eastAsia="仿宋_GB2312"/>
          <w:color w:val="323232"/>
          <w:shd w:val="clear" w:color="auto" w:fill="FFFFFF"/>
          <w:lang w:val="en-US" w:eastAsia="zh-CN"/>
        </w:rPr>
        <w:t>教育教学</w:t>
      </w:r>
      <w:r>
        <w:rPr>
          <w:rFonts w:hint="eastAsia" w:ascii="仿宋_GB2312" w:eastAsia="仿宋_GB2312"/>
          <w:color w:val="323232"/>
          <w:shd w:val="clear" w:color="auto" w:fill="FFFFFF"/>
        </w:rPr>
        <w:t>痛点或关键问题，简要介绍必要性和实施目标</w:t>
      </w:r>
      <w:r>
        <w:rPr>
          <w:rFonts w:hint="eastAsia" w:ascii="仿宋_GB2312" w:eastAsia="仿宋_GB2312"/>
          <w:color w:val="323232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color w:val="323232"/>
          <w:shd w:val="clear" w:color="auto" w:fill="FFFFFF"/>
        </w:rPr>
        <w:t>300字以内</w:t>
      </w:r>
      <w:r>
        <w:rPr>
          <w:rFonts w:hint="eastAsia" w:ascii="仿宋_GB2312" w:hAnsi="宋体" w:eastAsia="仿宋_GB2312" w:cs="宋体"/>
          <w:color w:val="323232"/>
          <w:shd w:val="clear" w:color="auto" w:fill="FFFFFF"/>
          <w:lang w:eastAsia="zh-CN"/>
        </w:rPr>
        <w:t>。</w:t>
      </w:r>
      <w:r>
        <w:rPr>
          <w:rFonts w:hint="eastAsia" w:ascii="仿宋_GB2312" w:eastAsia="仿宋_GB2312"/>
          <w:color w:val="323232"/>
          <w:shd w:val="clear" w:color="auto" w:fill="FFFFFF"/>
        </w:rPr>
        <w:t>）</w:t>
      </w:r>
    </w:p>
    <w:p w14:paraId="20605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结合教育改革要求（如人工智能与教育深度融合、课程思政常态化建设、产教融合提质增效、“四新”建设落地实施）、学科专业特点、学生认知规律及教学痛点，阐述案例设计的必要性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背景意义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和实施目标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示例：在人工智能快速发展、教育数字化转型的大背景下，传统XX课程存在教学模式单一、理论与实践脱节、学生主动学习积极性不足等问题，为落实教育数字化战略，推动人工智能赋能课堂教学，破解教学痛点，提升教学质量与育人成效，特设计本场景教学案例。</w:t>
      </w:r>
    </w:p>
    <w:p w14:paraId="543BE457">
      <w:pPr>
        <w:pStyle w:val="2"/>
        <w:ind w:firstLine="643" w:firstLineChars="200"/>
        <w:jc w:val="both"/>
        <w:rPr>
          <w:rFonts w:ascii="仿宋" w:hAnsi="仿宋" w:eastAsia="仿宋" w:cs="仿宋"/>
        </w:rPr>
      </w:pPr>
      <w:bookmarkStart w:id="0" w:name="heading_10"/>
      <w:r>
        <w:rPr>
          <w:rFonts w:hint="eastAsia" w:ascii="黑体" w:hAnsi="黑体" w:eastAsia="黑体" w:cs="黑体"/>
          <w:b/>
          <w:bCs/>
          <w:lang w:val="en-US" w:eastAsia="zh-CN"/>
        </w:rPr>
        <w:t>三、案例实施</w:t>
      </w:r>
      <w:bookmarkEnd w:id="0"/>
      <w:r>
        <w:rPr>
          <w:rFonts w:hint="eastAsia" w:ascii="黑体" w:hAnsi="黑体" w:eastAsia="黑体" w:cs="黑体"/>
          <w:b/>
          <w:bCs/>
          <w:lang w:val="en-US" w:eastAsia="zh-CN"/>
        </w:rPr>
        <w:t>情况</w:t>
      </w:r>
      <w:r>
        <w:rPr>
          <w:rFonts w:hint="eastAsia" w:ascii="仿宋" w:hAnsi="仿宋" w:eastAsia="仿宋" w:cs="仿宋"/>
          <w:w w:val="95"/>
        </w:rPr>
        <w:t>（</w:t>
      </w:r>
      <w:r>
        <w:rPr>
          <w:rFonts w:hint="eastAsia" w:ascii="仿宋_GB2312" w:eastAsia="仿宋_GB2312"/>
        </w:rPr>
        <w:t>包括但不限于需求分析、个性化定制、应用优化等方面所做的探索实践</w:t>
      </w:r>
      <w:r>
        <w:rPr>
          <w:rFonts w:hint="eastAsia" w:ascii="仿宋_GB2312" w:eastAsia="仿宋_GB2312"/>
          <w:lang w:eastAsia="zh-CN"/>
        </w:rPr>
        <w:t>，</w:t>
      </w:r>
      <w:r>
        <w:rPr>
          <w:rFonts w:hint="eastAsia" w:ascii="仿宋_GB2312" w:eastAsia="仿宋_GB2312"/>
        </w:rPr>
        <w:t>可图文并茂</w:t>
      </w:r>
      <w:r>
        <w:rPr>
          <w:rFonts w:hint="eastAsia" w:ascii="仿宋_GB2312" w:eastAsia="仿宋_GB2312"/>
          <w:lang w:eastAsia="zh-CN"/>
        </w:rPr>
        <w:t>，</w:t>
      </w:r>
      <w:r>
        <w:rPr>
          <w:rFonts w:hint="eastAsia" w:ascii="仿宋_GB2312" w:eastAsia="仿宋_GB2312"/>
          <w:color w:val="323232"/>
          <w:shd w:val="clear" w:color="auto" w:fill="FFFFFF"/>
          <w:lang w:val="en-US" w:eastAsia="zh-CN"/>
        </w:rPr>
        <w:t>1000</w:t>
      </w:r>
      <w:r>
        <w:rPr>
          <w:rFonts w:hint="eastAsia" w:ascii="仿宋_GB2312" w:eastAsia="仿宋_GB2312"/>
          <w:color w:val="323232"/>
          <w:shd w:val="clear" w:color="auto" w:fill="FFFFFF"/>
        </w:rPr>
        <w:t>字</w:t>
      </w:r>
      <w:r>
        <w:rPr>
          <w:rFonts w:hint="eastAsia" w:ascii="仿宋_GB2312" w:eastAsia="仿宋_GB2312"/>
          <w:color w:val="323232"/>
          <w:shd w:val="clear" w:color="auto" w:fill="FFFFFF"/>
          <w:lang w:val="en-US" w:eastAsia="zh-CN"/>
        </w:rPr>
        <w:t>以内。</w:t>
      </w:r>
      <w:r>
        <w:rPr>
          <w:rFonts w:hint="eastAsia" w:ascii="仿宋" w:hAnsi="仿宋" w:eastAsia="仿宋" w:cs="仿宋"/>
        </w:rPr>
        <w:t>）</w:t>
      </w:r>
    </w:p>
    <w:p w14:paraId="2AD89634">
      <w:pPr>
        <w:pStyle w:val="2"/>
        <w:ind w:firstLine="608" w:firstLineChars="200"/>
        <w:jc w:val="both"/>
        <w:rPr>
          <w:rFonts w:ascii="楷体_GB2312" w:hAnsi="楷体" w:eastAsia="楷体_GB2312" w:cs="楷体"/>
          <w:w w:val="95"/>
        </w:rPr>
      </w:pPr>
      <w:r>
        <w:rPr>
          <w:rFonts w:hint="eastAsia" w:ascii="楷体_GB2312" w:hAnsi="楷体" w:eastAsia="楷体_GB2312" w:cs="楷体"/>
          <w:w w:val="95"/>
        </w:rPr>
        <w:t>（一）X</w:t>
      </w:r>
      <w:r>
        <w:rPr>
          <w:rFonts w:ascii="楷体_GB2312" w:hAnsi="楷体" w:eastAsia="楷体_GB2312" w:cs="楷体"/>
          <w:w w:val="95"/>
        </w:rPr>
        <w:t>XXX</w:t>
      </w:r>
    </w:p>
    <w:p w14:paraId="1D1E9CEC">
      <w:pPr>
        <w:pStyle w:val="2"/>
        <w:ind w:firstLine="608" w:firstLineChars="200"/>
        <w:jc w:val="both"/>
        <w:rPr>
          <w:rFonts w:ascii="楷体_GB2312" w:hAnsi="楷体" w:eastAsia="楷体_GB2312" w:cs="楷体"/>
          <w:w w:val="95"/>
        </w:rPr>
      </w:pPr>
      <w:r>
        <w:rPr>
          <w:rFonts w:hint="eastAsia" w:ascii="楷体_GB2312" w:hAnsi="楷体" w:eastAsia="楷体_GB2312" w:cs="楷体"/>
          <w:w w:val="95"/>
        </w:rPr>
        <w:t>（二）X</w:t>
      </w:r>
      <w:r>
        <w:rPr>
          <w:rFonts w:ascii="楷体_GB2312" w:hAnsi="楷体" w:eastAsia="楷体_GB2312" w:cs="楷体"/>
          <w:w w:val="95"/>
        </w:rPr>
        <w:t>XXX</w:t>
      </w:r>
    </w:p>
    <w:p w14:paraId="3084CDAA">
      <w:pPr>
        <w:pStyle w:val="2"/>
        <w:ind w:firstLine="608" w:firstLineChars="200"/>
        <w:jc w:val="both"/>
        <w:rPr>
          <w:rFonts w:ascii="楷体_GB2312" w:hAnsi="楷体" w:eastAsia="楷体_GB2312" w:cs="楷体"/>
          <w:w w:val="95"/>
        </w:rPr>
      </w:pPr>
      <w:r>
        <w:rPr>
          <w:rFonts w:hint="eastAsia" w:ascii="楷体_GB2312" w:hAnsi="楷体" w:eastAsia="楷体_GB2312" w:cs="楷体"/>
          <w:w w:val="95"/>
        </w:rPr>
        <w:t>（三）X</w:t>
      </w:r>
      <w:r>
        <w:rPr>
          <w:rFonts w:ascii="楷体_GB2312" w:hAnsi="楷体" w:eastAsia="楷体_GB2312" w:cs="楷体"/>
          <w:w w:val="95"/>
        </w:rPr>
        <w:t>XXX</w:t>
      </w:r>
    </w:p>
    <w:p w14:paraId="794465E9">
      <w:pPr>
        <w:pStyle w:val="2"/>
        <w:ind w:firstLine="608" w:firstLineChars="200"/>
        <w:jc w:val="both"/>
        <w:rPr>
          <w:color w:val="auto"/>
        </w:rPr>
      </w:pPr>
      <w:r>
        <w:rPr>
          <w:rFonts w:hint="eastAsia" w:ascii="仿宋" w:hAnsi="仿宋" w:eastAsia="仿宋" w:cs="仿宋"/>
          <w:w w:val="95"/>
        </w:rPr>
        <w:t>……</w:t>
      </w:r>
    </w:p>
    <w:p w14:paraId="2624E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详细阐述案例实施的具体步骤、时间安排、实施对象、关键环节，突出场景化、可操作性，体现特色做法。分阶段阐述（如课前准备、课堂实施、课后延伸），示例：1.  课前准备：搭建人工智能教学平台，上传预习资料、智能题库，引导学生线上预习，AI系统自动收集学生预习数据，精准定位知识薄弱点；挖掘课程思政元素，制作思政案例素材，联动企业准备真实实践场景。2.  课堂实施：依托人工智能技术，开展沉浸式场景教学，如通过虚拟仿真场景模拟XX专业操作，AI实时反馈操作结果；结合企业真实项目，开展小组合作实践，教师引导学生融入思政元素，讨论职业素养要求；通过AI答疑模块，及时解决学生学习疑问，提升课堂互动性。3.  课后延伸：利用AI系统推送个性化复习资料、拓展任务，引导学生完成课后实践、总结反思；联动企业开展校外实践，让学生在真实岗位场景中锤炼专业技能、践行思政理念；组织学生分享实践成果，深化学习效果。</w:t>
      </w:r>
    </w:p>
    <w:p w14:paraId="2A954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outlineLvl w:val="2"/>
        <w:rPr>
          <w:rFonts w:hint="eastAsia" w:ascii="仿宋" w:hAnsi="仿宋" w:eastAsia="仿宋" w:cs="仿宋"/>
          <w:w w:val="95"/>
          <w:kern w:val="2"/>
          <w:sz w:val="32"/>
          <w:szCs w:val="32"/>
          <w:lang w:val="en-US" w:eastAsia="zh-CN" w:bidi="ar-SA"/>
        </w:rPr>
      </w:pPr>
      <w:bookmarkStart w:id="1" w:name="heading_11"/>
      <w:r>
        <w:rPr>
          <w:rFonts w:hint="eastAsia" w:ascii="Arial" w:hAnsi="Arial" w:eastAsia="等线" w:cs="Arial"/>
          <w:b/>
          <w:color w:val="auto"/>
          <w:sz w:val="30"/>
          <w:lang w:val="en-US" w:eastAsia="zh-CN"/>
        </w:rPr>
        <w:t>　</w: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　四、案例实施成效</w:t>
      </w:r>
      <w:bookmarkEnd w:id="1"/>
      <w:r>
        <w:rPr>
          <w:rFonts w:hint="eastAsia" w:ascii="仿宋" w:hAnsi="仿宋" w:eastAsia="仿宋" w:cs="仿宋"/>
          <w:w w:val="95"/>
          <w:kern w:val="2"/>
          <w:sz w:val="32"/>
          <w:szCs w:val="32"/>
          <w:lang w:val="en-US" w:eastAsia="zh-CN" w:bidi="ar-SA"/>
        </w:rPr>
        <w:t>（用数据、事实说话，从教学效果、学生成长、教研提升、行业反馈等维度，阐述案例实施的具体成效，突出申报方向的特色成果。500字内）</w:t>
      </w:r>
    </w:p>
    <w:p w14:paraId="503B2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示例：1.  教学效果：通过本案例实施，XX课程课堂互动率提升XX%，学生专业成绩平均提高XX分，学生对课程的满意度达XX%，有效破解了传统教学痛点，提升了教学效率与质量。2.  学生成长：学生的专业实践能力、创新能力、职业素养显著提升，近三年指导学生获得XX竞赛奖项XX项，学生就业率、升学质量明显提高，其中XX名学生进入XX知名企业、高校深造（产教融合方向重点突出）；学生的家国情怀、责任担当等素养得到强化，形成了良好的学习风气。3.  教研提升：案例实施过程中，形成了一套可复制、可推广的教学模式，相关教学经验被纳入校级教学改革成果，发表教学研究论文XX篇，带动所在院系相关课程教学改革。4.  行业反馈：企业对参与实践的学生给予高度评价，认为学生专业技能扎实、职业素养优良，案例的实施为行业输送了更多高素质人才，获得行业协会、合作企业的广泛认可（产教融合方向重点突出）。</w:t>
      </w:r>
    </w:p>
    <w:p w14:paraId="0BAA8551">
      <w:pPr>
        <w:pStyle w:val="2"/>
        <w:ind w:firstLine="643" w:firstLineChars="200"/>
        <w:jc w:val="both"/>
        <w:rPr>
          <w:color w:val="auto"/>
        </w:rPr>
      </w:pPr>
      <w:bookmarkStart w:id="2" w:name="heading_12"/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五、案例推广价值</w:t>
      </w:r>
      <w:bookmarkEnd w:id="2"/>
      <w:r>
        <w:rPr>
          <w:rFonts w:hint="eastAsia" w:ascii="仿宋" w:hAnsi="仿宋" w:eastAsia="仿宋" w:cs="仿宋"/>
          <w:w w:val="95"/>
        </w:rPr>
        <w:t>（</w:t>
      </w:r>
      <w:r>
        <w:rPr>
          <w:rFonts w:hint="eastAsia" w:ascii="仿宋_GB2312" w:eastAsia="仿宋_GB2312"/>
          <w:sz w:val="32"/>
          <w:szCs w:val="32"/>
        </w:rPr>
        <w:t>说明该案例的应用前景或已经取得的应用成果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以及</w:t>
      </w:r>
      <w:r>
        <w:rPr>
          <w:rFonts w:hint="eastAsia" w:ascii="仿宋_GB2312" w:eastAsia="仿宋_GB2312"/>
          <w:sz w:val="32"/>
          <w:szCs w:val="32"/>
        </w:rPr>
        <w:t>在应用中可能存在的技术风险和伦理风险等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323232"/>
          <w:shd w:val="clear" w:color="auto" w:fill="FFFFFF"/>
        </w:rPr>
        <w:t>00</w:t>
      </w:r>
      <w:r>
        <w:rPr>
          <w:rFonts w:hint="eastAsia" w:ascii="仿宋_GB2312" w:eastAsia="仿宋_GB2312"/>
          <w:color w:val="323232"/>
          <w:shd w:val="clear" w:color="auto" w:fill="FFFFFF"/>
        </w:rPr>
        <w:t>字</w:t>
      </w:r>
      <w:r>
        <w:rPr>
          <w:rFonts w:hint="eastAsia" w:ascii="仿宋_GB2312" w:eastAsia="仿宋_GB2312"/>
          <w:color w:val="323232"/>
          <w:shd w:val="clear" w:color="auto" w:fill="FFFFFF"/>
          <w:lang w:val="en-US" w:eastAsia="zh-CN"/>
        </w:rPr>
        <w:t>以内。</w:t>
      </w:r>
      <w:r>
        <w:rPr>
          <w:rFonts w:hint="eastAsia" w:ascii="仿宋" w:hAnsi="仿宋" w:eastAsia="仿宋" w:cs="仿宋"/>
        </w:rPr>
        <w:t>）</w:t>
      </w:r>
    </w:p>
    <w:p w14:paraId="355B5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阐述案例的创新性、可复制性和推广意义，说明案例对同类课程、同类院校的借鉴价值，以及后续推广计划。示例：本案例紧扣人工智能赋能教育的发展趋势，创新设计了“AI+场景教学”的模式，破解了传统教学的痛点，操作流程清晰、可复制性强，可推广应用于同类专业、同类课程的教学实践；同时，案例将技术赋能与育人目标深度结合，为人工智能与教育深度融合提供了实践参考，后续将通过公开课、教研分享、论文发表等方式，进一步推广案例成果，带动更多教师参与教学改革，助力教育高质量发展；或：本案例立足产教融合、课程思政建设要求，构建的“企业场景+思政+专业”教学模式，有效解决了思政与专业脱节、理论与实践脱节的问题，为同类院校开展产教融合、课程思政教学提供了可借鉴的实践样本，具有较强的推广价值。</w:t>
      </w:r>
    </w:p>
    <w:p w14:paraId="1C24C7B3">
      <w:pPr>
        <w:spacing w:line="600" w:lineRule="exact"/>
        <w:ind w:firstLine="643" w:firstLineChars="200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六、其他相关情况</w:t>
      </w:r>
      <w:r>
        <w:rPr>
          <w:rFonts w:hint="eastAsia" w:eastAsia="黑体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案例获奖情况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第三方评价及相关照片等</w:t>
      </w:r>
      <w:r>
        <w:rPr>
          <w:rFonts w:hint="eastAsia" w:eastAsia="黑体"/>
          <w:sz w:val="32"/>
          <w:szCs w:val="32"/>
          <w:lang w:eastAsia="zh-CN"/>
        </w:rPr>
        <w:t>）</w:t>
      </w:r>
    </w:p>
    <w:p w14:paraId="68D50DC1">
      <w:pPr>
        <w:spacing w:line="600" w:lineRule="exact"/>
        <w:ind w:firstLine="608" w:firstLineChars="200"/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  <w:t>（一）案例获奖情况。获奖时间、奖项名称、授奖单位。</w:t>
      </w:r>
    </w:p>
    <w:p w14:paraId="0610027E">
      <w:pPr>
        <w:spacing w:line="600" w:lineRule="exact"/>
        <w:ind w:firstLine="608" w:firstLineChars="200"/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  <w:t>（二）第三方评价。案例在应用效果、创新实践等方面得到的评价，如用户评价、专家评审意见、第三方检测认证、社会舆论正面评价等。（如有，应说明评价主体，信息来源等相关证明文件）</w:t>
      </w:r>
    </w:p>
    <w:p w14:paraId="3D7C0CED">
      <w:pPr>
        <w:spacing w:line="600" w:lineRule="exact"/>
        <w:ind w:firstLine="608" w:firstLineChars="200"/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2041" w:right="1531" w:bottom="1985" w:left="1531" w:header="851" w:footer="1644" w:gutter="0"/>
          <w:cols w:space="720" w:num="1"/>
          <w:docGrid w:type="lines" w:linePitch="312" w:charSpace="0"/>
        </w:sectPr>
      </w:pPr>
      <w:bookmarkStart w:id="3" w:name="_GoBack"/>
      <w:bookmarkEnd w:id="3"/>
      <w:r>
        <w:rPr>
          <w:rFonts w:hint="eastAsia" w:ascii="楷体_GB2312" w:hAnsi="楷体" w:eastAsia="楷体_GB2312" w:cs="楷体"/>
          <w:w w:val="95"/>
          <w:kern w:val="2"/>
          <w:sz w:val="32"/>
          <w:szCs w:val="32"/>
          <w:lang w:val="en-US" w:eastAsia="zh-CN" w:bidi="ar-SA"/>
        </w:rPr>
        <w:t>（三）案例相关图片、视频等。</w:t>
      </w:r>
    </w:p>
    <w:p w14:paraId="696CA3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82C55">
    <w:pPr>
      <w:pStyle w:val="3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10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 w14:paraId="5EDB012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96A79"/>
    <w:rsid w:val="04257844"/>
    <w:rsid w:val="0593568A"/>
    <w:rsid w:val="20683D77"/>
    <w:rsid w:val="31794E91"/>
    <w:rsid w:val="3A3A2CE3"/>
    <w:rsid w:val="3F696A79"/>
    <w:rsid w:val="462A20A5"/>
    <w:rsid w:val="49CF3448"/>
    <w:rsid w:val="4A314103"/>
    <w:rsid w:val="4D4C2395"/>
    <w:rsid w:val="4E834801"/>
    <w:rsid w:val="53FC5344"/>
    <w:rsid w:val="6D2E60F1"/>
    <w:rsid w:val="732B7FD4"/>
    <w:rsid w:val="7BD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2095</Words>
  <Characters>2164</Characters>
  <Lines>0</Lines>
  <Paragraphs>0</Paragraphs>
  <TotalTime>2</TotalTime>
  <ScaleCrop>false</ScaleCrop>
  <LinksUpToDate>false</LinksUpToDate>
  <CharactersWithSpaces>2187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2026-04-22T03:20:00Z</dcterms:created>
  <dc:creator>对甲苯酚</dc:creator>
  <cp:lastModifiedBy>飞雪</cp:lastModifiedBy>
  <dcterms:modified xsi:type="dcterms:W3CDTF">2026-06-23T06:51:15Z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1E0CBCEDA12345A79F305787420C4C26_11</vt:lpwstr>
  </property>
  <property fmtid="{D5CDD505-2E9C-101B-9397-08002B2CF9AE}" pid="4" name="KSOTemplateDocerSaveRecord">
    <vt:lpwstr>eyJoZGlkIjoiZTNjNThiODA0MGY1Yjg5NGM4YmRkNWE5YjgwZTliNzQiLCJ1c2VySWQiOiIyMjAyODg5NjEifQ==</vt:lpwstr>
  </property>
</Properties>
</file>