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8B36C">
      <w:pPr>
        <w:pStyle w:val="2"/>
        <w:keepNext w:val="0"/>
        <w:keepLines w:val="0"/>
        <w:widowControl/>
        <w:suppressLineNumbers w:val="0"/>
        <w:jc w:val="center"/>
        <w:rPr>
          <w:sz w:val="44"/>
          <w:szCs w:val="44"/>
        </w:rPr>
      </w:pPr>
      <w:r>
        <w:rPr>
          <w:sz w:val="44"/>
          <w:szCs w:val="44"/>
        </w:rPr>
        <w:t>武夷学院艺术学院跨专业选修管理办法</w:t>
      </w:r>
    </w:p>
    <w:p w14:paraId="2D8EC1EE"/>
    <w:p w14:paraId="3FCF795F">
      <w:pPr>
        <w:keepNext w:val="0"/>
        <w:keepLines w:val="0"/>
        <w:widowControl/>
        <w:numPr>
          <w:ilvl w:val="0"/>
          <w:numId w:val="1"/>
        </w:numPr>
        <w:suppressLineNumbers w:val="0"/>
        <w:jc w:val="center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总则</w:t>
      </w:r>
    </w:p>
    <w:p w14:paraId="03221A0E">
      <w:pPr>
        <w:keepNext w:val="0"/>
        <w:keepLines w:val="0"/>
        <w:widowControl/>
        <w:suppressLineNumbers w:val="0"/>
        <w:ind w:firstLine="562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第一条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为规范学院跨专业选修课程（以下简称“跨选课程”）管理，打破专业壁垒，促进艺术学科跨界融合，提升学生综合创作与跨界创新素养，结合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艺术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学院艺术类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各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专业特点，制定本办法。</w:t>
      </w:r>
    </w:p>
    <w:p w14:paraId="6DC84471">
      <w:pPr>
        <w:keepNext w:val="0"/>
        <w:keepLines w:val="0"/>
        <w:widowControl/>
        <w:suppressLineNumbers w:val="0"/>
        <w:ind w:firstLine="562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第二条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本办法适用于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艺术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学院全体全日制本科生跨选课程的申报、选课、教学、考核及学分认定等相关工作。</w:t>
      </w:r>
    </w:p>
    <w:p w14:paraId="38B37A7B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第三条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跨选课程管理坚持“艺术融合、因材施教、规范有序、质量优先”原则，兼顾专业性与包容性，契合艺术类专业“技艺传授、跨域实践”特点，助力学生成长为复合型艺术人才。</w:t>
      </w:r>
    </w:p>
    <w:p w14:paraId="44A44E5A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center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课程设置与申报</w:t>
      </w:r>
    </w:p>
    <w:p w14:paraId="3F5D61CB">
      <w:pPr>
        <w:keepNext w:val="0"/>
        <w:keepLines w:val="0"/>
        <w:widowControl/>
        <w:suppressLineNumbers w:val="0"/>
        <w:ind w:firstLine="562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第四条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跨选课程以各专业核心、特色课程为基础，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扎根地域文化，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聚焦艺术跨界需求，突出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地域性、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实践性、创新性，主要设置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理论研究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、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造型艺术、设计创意、特色传承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四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类课程，实现专业互补与技能拓展，兼顾非本专业学生适配性。</w:t>
      </w:r>
    </w:p>
    <w:p w14:paraId="4A0C292C">
      <w:pPr>
        <w:keepNext w:val="0"/>
        <w:keepLines w:val="0"/>
        <w:widowControl/>
        <w:suppressLineNumbers w:val="0"/>
        <w:ind w:firstLine="562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第五条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跨选课程由各专业教研室每学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年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申报一次，需提交申报表，明确课程核心信息及跨界亮点。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艺术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学院教科办组织专家审核，通过后纳入课程库并提前向全院公布，各专业每学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年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至少开放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5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门课程供跨选。</w:t>
      </w:r>
    </w:p>
    <w:p w14:paraId="1ABEE9E4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第六条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跨选课程实行动态管理，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艺术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学院每学年结合学生评价、教学效果等进行评估，淘汰质量不佳、选修率低的课程，扶持优质课程。</w:t>
      </w:r>
    </w:p>
    <w:p w14:paraId="6D5FF923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center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选课管理</w:t>
      </w:r>
    </w:p>
    <w:p w14:paraId="4DBF792D">
      <w:pPr>
        <w:keepNext w:val="0"/>
        <w:keepLines w:val="0"/>
        <w:widowControl/>
        <w:suppressLineNumbers w:val="0"/>
        <w:ind w:firstLine="562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第七条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选课对象为全院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二、三年级的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全日制本科生。学生需结合自身发展规划选课，每人每学期最多选2门，累计跨选学分不超过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5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学分。</w:t>
      </w:r>
    </w:p>
    <w:p w14:paraId="444E6428">
      <w:pPr>
        <w:keepNext w:val="0"/>
        <w:keepLines w:val="0"/>
        <w:widowControl/>
        <w:suppressLineNumbers w:val="0"/>
        <w:ind w:firstLine="562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第八条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选课按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艺术学院教科办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统一流程执行：学院提前公布课程清单；学生在教务系统自主选课；报名超名额时随机抽签公示；选课确认后不得随意改退，特殊情况需开课后两周内书面申请获批。</w:t>
      </w:r>
    </w:p>
    <w:p w14:paraId="71F0AE63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第九条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本专业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不得选择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同类课程。</w:t>
      </w:r>
    </w:p>
    <w:p w14:paraId="7762B543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center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教学与考核管理</w:t>
      </w:r>
    </w:p>
    <w:p w14:paraId="41EFBD96">
      <w:pPr>
        <w:keepNext w:val="0"/>
        <w:keepLines w:val="0"/>
        <w:widowControl/>
        <w:suppressLineNumbers w:val="0"/>
        <w:ind w:firstLine="562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授课教师按教学大纲开展教学，结合艺术类特点，采用课堂讲授、作品创作、实践操作等多种方式，兼顾非本专业学生基础，不得擅自缺课调课。</w:t>
      </w:r>
    </w:p>
    <w:p w14:paraId="3299FF26">
      <w:pPr>
        <w:keepNext w:val="0"/>
        <w:keepLines w:val="0"/>
        <w:widowControl/>
        <w:suppressLineNumbers w:val="0"/>
        <w:ind w:firstLine="562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第十一条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考核坚持“过程与终结评价结合”，突出实践与创新能力，避免单一笔试。实践类课程作品创作等占比不低于60%，理论类以论文、答辩为主，综合类兼顾理论与实践。</w:t>
      </w:r>
    </w:p>
    <w:p w14:paraId="553CD978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第十二条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考核合格（60分及以上）可获相应学分，不合格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不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补考，可重新选修；无故缺课超总学时1/3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、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缺考者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或不提交结课作业、论文等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，成绩按不合格处理。授课教师需在考核后1周内录入成绩并提交相关材料存档。</w:t>
      </w:r>
    </w:p>
    <w:p w14:paraId="1B5E12F2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center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学分认定与管理</w:t>
      </w:r>
    </w:p>
    <w:p w14:paraId="22DEFE76">
      <w:pPr>
        <w:keepNext w:val="0"/>
        <w:keepLines w:val="0"/>
        <w:widowControl/>
        <w:suppressLineNumbers w:val="0"/>
        <w:ind w:firstLine="562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第十三条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跨选课程合格学分计入本专业专业选修课或综合素质拓展学分，具体由所在教研室按人才培养方案认定，不得替代必修课、限选课学分，不重复计学分。</w:t>
      </w:r>
    </w:p>
    <w:p w14:paraId="1D1CACB4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第十四条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跨选课程成绩记入成绩单，参与平均学分绩点计算，作为评奖评优等参考；转学、转专业学生，已修跨选课程符合转入专业要求的，可认定学分。</w:t>
      </w:r>
    </w:p>
    <w:p w14:paraId="78E1D78F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1BF1AEFD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center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责任与保障</w:t>
      </w:r>
    </w:p>
    <w:p w14:paraId="5E45456C">
      <w:pPr>
        <w:keepNext w:val="0"/>
        <w:keepLines w:val="0"/>
        <w:widowControl/>
        <w:suppressLineNumbers w:val="0"/>
        <w:ind w:firstLine="562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第十五条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艺术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学院教科办统筹跨选课程管理，各专业教研室负责课程申报、师资配备等，授课教师履行教学职责，学生遵守各项教学规定。</w:t>
      </w:r>
    </w:p>
    <w:p w14:paraId="059FFBA0">
      <w:pPr>
        <w:keepNext w:val="0"/>
        <w:keepLines w:val="0"/>
        <w:widowControl/>
        <w:suppressLineNumbers w:val="0"/>
        <w:ind w:firstLine="562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第十六条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艺术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学院将跨选课程教学纳入教师工作量考核，予以表彰激励；统筹保障教学资源，为负担增加的课程提供经费支持。</w:t>
      </w:r>
    </w:p>
    <w:p w14:paraId="3979F53D">
      <w:pPr>
        <w:keepNext w:val="0"/>
        <w:keepLines w:val="0"/>
        <w:widowControl/>
        <w:suppressLineNumbers w:val="0"/>
        <w:jc w:val="center"/>
        <w:rPr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第七章 附则</w:t>
      </w:r>
    </w:p>
    <w:p w14:paraId="56BF64CE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第十七条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本办法由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艺术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学院教科办负责解释，未尽事宜按学校相关规定执行，自发布之日起施行。</w:t>
      </w:r>
    </w:p>
    <w:p w14:paraId="62684711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4DCB9E45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bookmarkStart w:id="0" w:name="_GoBack"/>
      <w:bookmarkEnd w:id="0"/>
    </w:p>
    <w:p w14:paraId="67966C10">
      <w:pPr>
        <w:keepNext w:val="0"/>
        <w:keepLines w:val="0"/>
        <w:widowControl/>
        <w:suppressLineNumbers w:val="0"/>
        <w:jc w:val="righ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武夷学院艺术学院</w:t>
      </w:r>
    </w:p>
    <w:p w14:paraId="15BFA4A2">
      <w:pPr>
        <w:wordWrap w:val="0"/>
        <w:jc w:val="right"/>
        <w:rPr>
          <w:rFonts w:hint="default"/>
          <w:sz w:val="28"/>
          <w:szCs w:val="28"/>
          <w:lang w:val="en-US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2018年4月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FCCB0F"/>
    <w:multiLevelType w:val="singleLevel"/>
    <w:tmpl w:val="90FCCB0F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73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2026-04-10T07:58:09Z</dcterms:created>
  <dc:creator>user</dc:creator>
  <cp:lastModifiedBy>黄子延</cp:lastModifiedBy>
  <dcterms:modified xsi:type="dcterms:W3CDTF">2026-04-10T08:20:58Z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eyJoZGlkIjoiMzBjMWFiMTcxMDE2NmM2YTU0MDJhYmM0NjcxNjlhMGYiLCJ1c2VySWQiOiIxNzc5NzU1OTM4In0=</vt:lpwstr>
  </property>
  <property fmtid="{D5CDD505-2E9C-101B-9397-08002B2CF9AE}" pid="4" name="ICV">
    <vt:lpwstr>04919E6804FC420BBB2422E9ECFA0550_12</vt:lpwstr>
  </property>
</Properties>
</file>