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88343">
      <w:pPr>
        <w:spacing w:line="600" w:lineRule="exact"/>
        <w:rPr>
          <w:rFonts w:eastAsia="黑体" w:cs="Times New Roman"/>
          <w:szCs w:val="32"/>
          <w:shd w:val="clear" w:color="auto" w:fill="FFFFFF"/>
        </w:rPr>
      </w:pPr>
    </w:p>
    <w:p w14:paraId="2FA38CF9">
      <w:pPr>
        <w:spacing w:line="600" w:lineRule="exact"/>
        <w:jc w:val="center"/>
        <w:rPr>
          <w:rFonts w:ascii="方正小标宋简体" w:hAnsi="方正小标宋简体" w:eastAsia="方正小标宋简体" w:cs="方正小标宋简体"/>
          <w:sz w:val="44"/>
          <w:szCs w:val="44"/>
          <w:shd w:val="clear" w:color="auto" w:fill="FFFFFF"/>
        </w:rPr>
      </w:pPr>
      <w:bookmarkStart w:id="0" w:name="_GoBack"/>
      <w:r>
        <w:rPr>
          <w:rFonts w:hint="eastAsia" w:ascii="方正小标宋简体" w:hAnsi="方正小标宋简体" w:eastAsia="方正小标宋简体" w:cs="方正小标宋简体"/>
          <w:sz w:val="44"/>
          <w:szCs w:val="44"/>
          <w:shd w:val="clear" w:color="auto" w:fill="FFFFFF"/>
        </w:rPr>
        <w:t>202</w:t>
      </w:r>
      <w:r>
        <w:rPr>
          <w:rFonts w:hint="eastAsia" w:ascii="方正小标宋简体" w:hAnsi="方正小标宋简体" w:eastAsia="方正小标宋简体" w:cs="方正小标宋简体"/>
          <w:sz w:val="44"/>
          <w:szCs w:val="44"/>
          <w:shd w:val="clear" w:color="auto" w:fill="FFFFFF"/>
          <w:lang w:val="en-US" w:eastAsia="zh-CN"/>
        </w:rPr>
        <w:t>6</w:t>
      </w:r>
      <w:r>
        <w:rPr>
          <w:rFonts w:hint="eastAsia" w:ascii="方正小标宋简体" w:hAnsi="方正小标宋简体" w:eastAsia="方正小标宋简体" w:cs="方正小标宋简体"/>
          <w:sz w:val="44"/>
          <w:szCs w:val="44"/>
          <w:shd w:val="clear" w:color="auto" w:fill="FFFFFF"/>
        </w:rPr>
        <w:t>年“小我融入大我，青春献给祖国”</w:t>
      </w:r>
    </w:p>
    <w:p w14:paraId="144EEEB5">
      <w:pPr>
        <w:spacing w:line="600" w:lineRule="exact"/>
        <w:jc w:val="center"/>
        <w:rPr>
          <w:rFonts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shd w:val="clear" w:color="auto" w:fill="FFFFFF"/>
        </w:rPr>
        <w:t>高校师生主题社会实践优秀案例推荐表</w:t>
      </w:r>
    </w:p>
    <w:bookmarkEnd w:id="0"/>
    <w:p w14:paraId="29B4E4EB">
      <w:pPr>
        <w:spacing w:line="600" w:lineRule="exact"/>
        <w:jc w:val="center"/>
        <w:rPr>
          <w:rFonts w:ascii="方正小标宋简体" w:hAnsi="方正小标宋简体" w:eastAsia="方正小标宋简体" w:cs="方正小标宋简体"/>
          <w:sz w:val="44"/>
          <w:szCs w:val="44"/>
          <w:shd w:val="clear" w:color="auto" w:fill="FFFFFF"/>
        </w:rPr>
      </w:pPr>
    </w:p>
    <w:p w14:paraId="2166C353">
      <w:pPr>
        <w:adjustRightInd w:val="0"/>
        <w:snapToGrid w:val="0"/>
        <w:spacing w:after="156" w:afterLines="50" w:line="520" w:lineRule="exact"/>
        <w:jc w:val="left"/>
        <w:rPr>
          <w:rFonts w:ascii="方正小标宋简体" w:hAnsi="方正小标宋简体" w:eastAsia="方正小标宋简体" w:cs="方正小标宋简体"/>
          <w:sz w:val="28"/>
          <w:shd w:val="clear" w:color="auto" w:fill="FFFFFF"/>
        </w:rPr>
      </w:pPr>
      <w:r>
        <w:rPr>
          <w:rFonts w:hint="eastAsia" w:ascii="黑体" w:hAnsi="黑体" w:eastAsia="黑体" w:cs="黑体"/>
          <w:kern w:val="32"/>
          <w:sz w:val="28"/>
        </w:rPr>
        <w:t>案例所在单位联系人：</w:t>
      </w:r>
      <w:r>
        <w:rPr>
          <w:rFonts w:hint="eastAsia" w:ascii="黑体" w:hAnsi="黑体" w:eastAsia="黑体" w:cs="黑体"/>
          <w:kern w:val="32"/>
          <w:sz w:val="28"/>
          <w:u w:val="single"/>
        </w:rPr>
        <w:t xml:space="preserve"> </w:t>
      </w:r>
      <w:r>
        <w:rPr>
          <w:rFonts w:hint="eastAsia" w:ascii="黑体" w:hAnsi="黑体" w:eastAsia="黑体" w:cs="黑体"/>
          <w:kern w:val="32"/>
          <w:sz w:val="28"/>
          <w:u w:val="single"/>
          <w:lang w:val="en-US" w:eastAsia="zh-CN"/>
        </w:rPr>
        <w:t xml:space="preserve"> 黄春安 </w:t>
      </w:r>
      <w:r>
        <w:rPr>
          <w:rFonts w:hint="eastAsia" w:ascii="黑体" w:hAnsi="黑体" w:eastAsia="黑体" w:cs="黑体"/>
          <w:kern w:val="32"/>
          <w:sz w:val="28"/>
          <w:u w:val="single"/>
        </w:rPr>
        <w:t xml:space="preserve"> </w:t>
      </w:r>
      <w:r>
        <w:rPr>
          <w:rFonts w:hint="eastAsia" w:ascii="黑体" w:hAnsi="黑体" w:eastAsia="黑体" w:cs="黑体"/>
          <w:kern w:val="32"/>
          <w:sz w:val="28"/>
        </w:rPr>
        <w:t xml:space="preserve">   联系电话：</w:t>
      </w:r>
      <w:r>
        <w:rPr>
          <w:rFonts w:hint="eastAsia" w:ascii="黑体" w:hAnsi="黑体" w:eastAsia="黑体" w:cs="黑体"/>
          <w:kern w:val="32"/>
          <w:sz w:val="28"/>
          <w:u w:val="single"/>
        </w:rPr>
        <w:t xml:space="preserve"> </w:t>
      </w:r>
      <w:r>
        <w:rPr>
          <w:rFonts w:hint="eastAsia" w:ascii="黑体" w:hAnsi="黑体" w:eastAsia="黑体" w:cs="黑体"/>
          <w:kern w:val="32"/>
          <w:sz w:val="28"/>
          <w:u w:val="single"/>
          <w:lang w:val="en-US" w:eastAsia="zh-CN"/>
        </w:rPr>
        <w:t>15305996770</w:t>
      </w:r>
      <w:r>
        <w:rPr>
          <w:rFonts w:hint="eastAsia" w:ascii="黑体" w:hAnsi="黑体" w:eastAsia="黑体" w:cs="黑体"/>
          <w:kern w:val="32"/>
          <w:sz w:val="28"/>
          <w:u w:val="single"/>
        </w:rPr>
        <w:t xml:space="preserve"> </w:t>
      </w:r>
    </w:p>
    <w:tbl>
      <w:tblPr>
        <w:tblStyle w:val="5"/>
        <w:tblW w:w="8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8"/>
        <w:gridCol w:w="1436"/>
        <w:gridCol w:w="983"/>
        <w:gridCol w:w="1540"/>
        <w:gridCol w:w="1366"/>
        <w:gridCol w:w="1756"/>
      </w:tblGrid>
      <w:tr w14:paraId="137D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670" w:type="dxa"/>
            <w:vAlign w:val="center"/>
          </w:tcPr>
          <w:p w14:paraId="6794D09D">
            <w:pPr>
              <w:keepNext w:val="0"/>
              <w:keepLines w:val="0"/>
              <w:suppressLineNumbers w:val="0"/>
              <w:adjustRightInd w:val="0"/>
              <w:snapToGrid w:val="0"/>
              <w:spacing w:before="0" w:beforeAutospacing="0" w:after="0" w:afterAutospacing="0" w:line="240" w:lineRule="auto"/>
              <w:ind w:left="0" w:right="0"/>
              <w:jc w:val="center"/>
              <w:rPr>
                <w:rFonts w:hint="default" w:ascii="黑体" w:hAnsi="黑体" w:eastAsia="黑体" w:cs="黑体"/>
                <w:kern w:val="32"/>
                <w:sz w:val="28"/>
              </w:rPr>
            </w:pPr>
            <w:r>
              <w:rPr>
                <w:rFonts w:hint="eastAsia" w:ascii="黑体" w:hAnsi="黑体" w:eastAsia="黑体" w:cs="黑体"/>
                <w:kern w:val="32"/>
                <w:sz w:val="28"/>
              </w:rPr>
              <w:t>案例主题</w:t>
            </w:r>
          </w:p>
        </w:tc>
        <w:tc>
          <w:tcPr>
            <w:tcW w:w="7039" w:type="dxa"/>
            <w:gridSpan w:val="5"/>
            <w:vAlign w:val="center"/>
          </w:tcPr>
          <w:p w14:paraId="109F2A58">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仿宋_GB2312"/>
                <w:kern w:val="32"/>
                <w:sz w:val="28"/>
              </w:rPr>
            </w:pPr>
            <w:r>
              <w:rPr>
                <w:rFonts w:hint="eastAsia" w:ascii="仿宋_GB2312" w:hAnsi="仿宋_GB2312"/>
                <w:kern w:val="32"/>
                <w:sz w:val="28"/>
              </w:rPr>
              <w:sym w:font="Wingdings" w:char="00A8"/>
            </w:r>
            <w:r>
              <w:rPr>
                <w:rFonts w:hint="eastAsia" w:ascii="仿宋_GB2312" w:hAnsi="仿宋_GB2312"/>
                <w:kern w:val="32"/>
                <w:sz w:val="28"/>
                <w:lang w:eastAsia="zh-CN"/>
              </w:rPr>
              <w:t>追寻足迹</w:t>
            </w:r>
            <w:r>
              <w:rPr>
                <w:rFonts w:hint="eastAsia" w:ascii="仿宋_GB2312" w:hAnsi="仿宋_GB2312"/>
                <w:kern w:val="32"/>
                <w:sz w:val="28"/>
              </w:rPr>
              <w:t xml:space="preserve">  </w:t>
            </w:r>
            <w:r>
              <w:rPr>
                <w:rFonts w:hint="eastAsia" w:ascii="仿宋_GB2312" w:hAnsi="仿宋_GB2312"/>
                <w:kern w:val="32"/>
                <w:sz w:val="28"/>
              </w:rPr>
              <w:sym w:font="Wingdings" w:char="00A8"/>
            </w:r>
            <w:r>
              <w:rPr>
                <w:rFonts w:hint="eastAsia" w:ascii="仿宋_GB2312" w:hAnsi="仿宋_GB2312"/>
                <w:kern w:val="32"/>
                <w:sz w:val="28"/>
                <w:lang w:eastAsia="zh-CN"/>
              </w:rPr>
              <w:t>请党放心</w:t>
            </w:r>
            <w:r>
              <w:rPr>
                <w:rFonts w:hint="eastAsia" w:ascii="仿宋_GB2312" w:hAnsi="仿宋_GB2312"/>
                <w:kern w:val="32"/>
                <w:sz w:val="28"/>
                <w:lang w:val="en-US" w:eastAsia="zh-CN"/>
              </w:rPr>
              <w:t xml:space="preserve">  </w:t>
            </w:r>
            <w:r>
              <w:rPr>
                <w:rFonts w:hint="eastAsia" w:ascii="仿宋_GB2312" w:hAnsi="仿宋_GB2312"/>
                <w:kern w:val="32"/>
                <w:sz w:val="28"/>
              </w:rPr>
              <w:sym w:font="Wingdings" w:char="00A8"/>
            </w:r>
            <w:r>
              <w:rPr>
                <w:rFonts w:hint="eastAsia" w:ascii="仿宋_GB2312" w:hAnsi="仿宋_GB2312"/>
                <w:kern w:val="32"/>
                <w:sz w:val="28"/>
                <w:lang w:eastAsia="zh-CN"/>
              </w:rPr>
              <w:t>理响中国</w:t>
            </w:r>
            <w:r>
              <w:rPr>
                <w:rFonts w:hint="eastAsia" w:ascii="仿宋_GB2312" w:hAnsi="仿宋_GB2312"/>
                <w:kern w:val="32"/>
                <w:sz w:val="28"/>
                <w:lang w:val="en-US" w:eastAsia="zh-CN"/>
              </w:rPr>
              <w:t xml:space="preserve">  </w:t>
            </w:r>
            <w:r>
              <w:rPr>
                <w:rFonts w:hint="eastAsia" w:ascii="仿宋_GB2312" w:hAnsi="仿宋_GB2312"/>
                <w:kern w:val="32"/>
                <w:sz w:val="28"/>
              </w:rPr>
              <w:sym w:font="Wingdings" w:char="00A8"/>
            </w:r>
            <w:r>
              <w:rPr>
                <w:rFonts w:hint="eastAsia" w:ascii="仿宋_GB2312" w:hAnsi="仿宋_GB2312"/>
                <w:kern w:val="32"/>
                <w:sz w:val="28"/>
                <w:lang w:eastAsia="zh-CN"/>
              </w:rPr>
              <w:t>兴农助民</w:t>
            </w:r>
            <w:r>
              <w:rPr>
                <w:rFonts w:hint="eastAsia" w:ascii="仿宋_GB2312" w:hAnsi="仿宋_GB2312"/>
                <w:kern w:val="32"/>
                <w:sz w:val="28"/>
              </w:rPr>
              <w:t xml:space="preserve">  </w:t>
            </w:r>
          </w:p>
          <w:p w14:paraId="43EF790F">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仿宋_GB2312" w:eastAsia="仿宋_GB2312"/>
                <w:kern w:val="32"/>
                <w:sz w:val="28"/>
                <w:lang w:eastAsia="zh-CN"/>
              </w:rPr>
            </w:pPr>
            <w:r>
              <w:rPr>
                <w:rFonts w:hint="eastAsia" w:ascii="仿宋_GB2312" w:hAnsi="仿宋_GB2312"/>
                <w:kern w:val="32"/>
                <w:sz w:val="28"/>
              </w:rPr>
              <w:sym w:font="Wingdings" w:char="00FE"/>
            </w:r>
            <w:r>
              <w:rPr>
                <w:rFonts w:hint="eastAsia" w:ascii="仿宋_GB2312" w:hAnsi="仿宋_GB2312"/>
                <w:kern w:val="32"/>
                <w:sz w:val="28"/>
                <w:lang w:val="en-US" w:eastAsia="zh-CN"/>
              </w:rPr>
              <w:t>文脉赓续</w:t>
            </w:r>
            <w:r>
              <w:rPr>
                <w:rFonts w:hint="eastAsia" w:ascii="仿宋_GB2312" w:hAnsi="仿宋_GB2312"/>
                <w:kern w:val="32"/>
                <w:sz w:val="28"/>
              </w:rPr>
              <w:t xml:space="preserve">  </w:t>
            </w:r>
            <w:r>
              <w:rPr>
                <w:rFonts w:hint="eastAsia" w:ascii="仿宋_GB2312" w:hAnsi="仿宋_GB2312"/>
                <w:kern w:val="32"/>
                <w:sz w:val="28"/>
              </w:rPr>
              <w:sym w:font="Wingdings" w:char="00A8"/>
            </w:r>
            <w:r>
              <w:rPr>
                <w:rFonts w:hint="eastAsia" w:ascii="仿宋_GB2312" w:hAnsi="仿宋_GB2312"/>
                <w:kern w:val="32"/>
                <w:sz w:val="28"/>
                <w:lang w:eastAsia="zh-CN"/>
              </w:rPr>
              <w:t>智创未来</w:t>
            </w:r>
            <w:r>
              <w:rPr>
                <w:rFonts w:hint="eastAsia" w:ascii="仿宋_GB2312" w:hAnsi="仿宋_GB2312"/>
                <w:kern w:val="32"/>
                <w:sz w:val="28"/>
              </w:rPr>
              <w:t xml:space="preserve">  </w:t>
            </w:r>
            <w:r>
              <w:rPr>
                <w:rFonts w:hint="eastAsia" w:ascii="仿宋_GB2312" w:hAnsi="仿宋_GB2312"/>
                <w:kern w:val="32"/>
                <w:sz w:val="28"/>
              </w:rPr>
              <w:sym w:font="Wingdings" w:char="00A8"/>
            </w:r>
            <w:r>
              <w:rPr>
                <w:rFonts w:hint="eastAsia" w:ascii="仿宋_GB2312" w:hAnsi="仿宋_GB2312"/>
                <w:kern w:val="32"/>
                <w:sz w:val="28"/>
                <w:lang w:val="en-US" w:eastAsia="zh-CN"/>
              </w:rPr>
              <w:t xml:space="preserve">绿水青山  </w:t>
            </w:r>
            <w:r>
              <w:rPr>
                <w:rFonts w:hint="eastAsia" w:ascii="仿宋_GB2312" w:hAnsi="仿宋_GB2312"/>
                <w:kern w:val="32"/>
                <w:sz w:val="28"/>
              </w:rPr>
              <w:sym w:font="Wingdings" w:char="00A8"/>
            </w:r>
            <w:r>
              <w:rPr>
                <w:rFonts w:hint="eastAsia" w:ascii="仿宋_GB2312" w:hAnsi="仿宋_GB2312"/>
                <w:kern w:val="32"/>
                <w:sz w:val="28"/>
                <w:lang w:eastAsia="zh-CN"/>
              </w:rPr>
              <w:t>俭以养德</w:t>
            </w:r>
            <w:r>
              <w:rPr>
                <w:rFonts w:hint="eastAsia" w:ascii="仿宋_GB2312" w:hAnsi="仿宋_GB2312"/>
                <w:kern w:val="32"/>
                <w:sz w:val="28"/>
              </w:rPr>
              <w:t xml:space="preserve"> </w:t>
            </w:r>
          </w:p>
        </w:tc>
      </w:tr>
      <w:tr w14:paraId="4BF6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70" w:type="dxa"/>
            <w:vAlign w:val="center"/>
          </w:tcPr>
          <w:p w14:paraId="49BD5F09">
            <w:pPr>
              <w:keepNext w:val="0"/>
              <w:keepLines w:val="0"/>
              <w:suppressLineNumbers w:val="0"/>
              <w:adjustRightInd w:val="0"/>
              <w:snapToGrid w:val="0"/>
              <w:spacing w:before="0" w:beforeAutospacing="0" w:after="0" w:afterAutospacing="0" w:line="240" w:lineRule="auto"/>
              <w:ind w:left="0" w:right="0"/>
              <w:jc w:val="center"/>
              <w:rPr>
                <w:rFonts w:hint="default" w:ascii="黑体" w:hAnsi="黑体" w:eastAsia="黑体" w:cs="黑体"/>
                <w:kern w:val="32"/>
                <w:sz w:val="28"/>
              </w:rPr>
            </w:pPr>
            <w:r>
              <w:rPr>
                <w:rFonts w:hint="eastAsia" w:ascii="黑体" w:hAnsi="黑体" w:eastAsia="黑体" w:cs="黑体"/>
                <w:kern w:val="32"/>
                <w:sz w:val="28"/>
              </w:rPr>
              <w:t>案例名称</w:t>
            </w:r>
          </w:p>
        </w:tc>
        <w:tc>
          <w:tcPr>
            <w:tcW w:w="7039" w:type="dxa"/>
            <w:gridSpan w:val="5"/>
            <w:vAlign w:val="center"/>
          </w:tcPr>
          <w:p w14:paraId="1E5D16BF">
            <w:pPr>
              <w:keepNext w:val="0"/>
              <w:keepLines w:val="0"/>
              <w:suppressLineNumbers w:val="0"/>
              <w:adjustRightInd w:val="0"/>
              <w:snapToGrid w:val="0"/>
              <w:spacing w:before="0" w:beforeAutospacing="0" w:after="0" w:afterAutospacing="0" w:line="240" w:lineRule="auto"/>
              <w:ind w:right="0"/>
              <w:jc w:val="both"/>
              <w:rPr>
                <w:rFonts w:hint="eastAsia" w:ascii="仿宋_GB2312" w:hAnsi="仿宋_GB2312"/>
                <w:b w:val="0"/>
                <w:bCs w:val="0"/>
                <w:color w:val="auto"/>
                <w:kern w:val="32"/>
                <w:sz w:val="28"/>
                <w:lang w:val="en-US" w:eastAsia="zh-CN"/>
              </w:rPr>
            </w:pPr>
            <w:r>
              <w:rPr>
                <w:rFonts w:hint="eastAsia" w:ascii="仿宋_GB2312" w:hAnsi="仿宋_GB2312"/>
                <w:b w:val="0"/>
                <w:bCs w:val="0"/>
                <w:color w:val="auto"/>
                <w:kern w:val="32"/>
                <w:sz w:val="28"/>
                <w:lang w:val="en-US" w:eastAsia="zh-CN"/>
              </w:rPr>
              <w:t>朱子故里忆初心 闽赣苏区再出发</w:t>
            </w:r>
          </w:p>
          <w:p w14:paraId="1C86CCEC">
            <w:pPr>
              <w:keepNext w:val="0"/>
              <w:keepLines w:val="0"/>
              <w:suppressLineNumbers w:val="0"/>
              <w:adjustRightInd w:val="0"/>
              <w:snapToGrid w:val="0"/>
              <w:spacing w:before="0" w:beforeAutospacing="0" w:after="0" w:afterAutospacing="0" w:line="240" w:lineRule="auto"/>
              <w:ind w:right="0"/>
              <w:jc w:val="right"/>
              <w:rPr>
                <w:rFonts w:hint="default" w:ascii="仿宋_GB2312" w:hAnsi="仿宋_GB2312"/>
                <w:kern w:val="32"/>
                <w:sz w:val="28"/>
              </w:rPr>
            </w:pPr>
            <w:r>
              <w:rPr>
                <w:rFonts w:ascii="Arial" w:hAnsi="Arial" w:eastAsia="宋体" w:cs="Arial"/>
                <w:i w:val="0"/>
                <w:iCs w:val="0"/>
                <w:caps w:val="0"/>
                <w:color w:val="333333"/>
                <w:spacing w:val="0"/>
                <w:sz w:val="24"/>
                <w:szCs w:val="24"/>
                <w:shd w:val="clear" w:fill="FFFFFF"/>
              </w:rPr>
              <w:t>——</w:t>
            </w:r>
            <w:r>
              <w:rPr>
                <w:rFonts w:hint="default" w:ascii="仿宋_GB2312" w:hAnsi="仿宋_GB2312"/>
                <w:b w:val="0"/>
                <w:bCs w:val="0"/>
                <w:color w:val="auto"/>
                <w:kern w:val="32"/>
                <w:sz w:val="28"/>
              </w:rPr>
              <w:t>武夷学院“红小团”社会实践队</w:t>
            </w:r>
          </w:p>
        </w:tc>
      </w:tr>
      <w:tr w14:paraId="4F5E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70" w:type="dxa"/>
            <w:vAlign w:val="center"/>
          </w:tcPr>
          <w:p w14:paraId="1E19CA94">
            <w:pPr>
              <w:keepNext w:val="0"/>
              <w:keepLines w:val="0"/>
              <w:suppressLineNumbers w:val="0"/>
              <w:adjustRightInd w:val="0"/>
              <w:snapToGrid w:val="0"/>
              <w:spacing w:before="0" w:beforeAutospacing="0" w:after="0" w:afterAutospacing="0" w:line="240" w:lineRule="auto"/>
              <w:ind w:left="0" w:right="0"/>
              <w:jc w:val="center"/>
              <w:rPr>
                <w:rFonts w:hint="default" w:ascii="黑体" w:hAnsi="黑体" w:eastAsia="黑体" w:cs="黑体"/>
                <w:kern w:val="32"/>
                <w:sz w:val="28"/>
              </w:rPr>
            </w:pPr>
            <w:r>
              <w:rPr>
                <w:rFonts w:hint="eastAsia" w:ascii="黑体" w:hAnsi="黑体" w:eastAsia="黑体" w:cs="黑体"/>
                <w:kern w:val="32"/>
                <w:sz w:val="28"/>
              </w:rPr>
              <w:t>案例负责人</w:t>
            </w:r>
          </w:p>
        </w:tc>
        <w:tc>
          <w:tcPr>
            <w:tcW w:w="1473" w:type="dxa"/>
            <w:vAlign w:val="center"/>
          </w:tcPr>
          <w:p w14:paraId="5B3F3551">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仿宋_GB2312"/>
                <w:kern w:val="32"/>
                <w:sz w:val="28"/>
                <w:lang w:val="en-US" w:eastAsia="zh-CN"/>
              </w:rPr>
            </w:pPr>
            <w:r>
              <w:rPr>
                <w:rFonts w:hint="eastAsia" w:ascii="仿宋_GB2312" w:hAnsi="仿宋_GB2312"/>
                <w:kern w:val="32"/>
                <w:sz w:val="28"/>
                <w:lang w:val="en-US" w:eastAsia="zh-CN"/>
              </w:rPr>
              <w:t>潘哲熙</w:t>
            </w:r>
          </w:p>
        </w:tc>
        <w:tc>
          <w:tcPr>
            <w:tcW w:w="1000" w:type="dxa"/>
            <w:vAlign w:val="center"/>
          </w:tcPr>
          <w:p w14:paraId="18FC5A91">
            <w:pPr>
              <w:keepNext w:val="0"/>
              <w:keepLines w:val="0"/>
              <w:suppressLineNumbers w:val="0"/>
              <w:adjustRightInd w:val="0"/>
              <w:snapToGrid w:val="0"/>
              <w:spacing w:before="0" w:beforeAutospacing="0" w:after="0" w:afterAutospacing="0" w:line="240" w:lineRule="auto"/>
              <w:ind w:left="0" w:right="0"/>
              <w:jc w:val="center"/>
              <w:rPr>
                <w:rFonts w:hint="default" w:ascii="黑体" w:hAnsi="黑体" w:eastAsia="黑体" w:cs="黑体"/>
                <w:kern w:val="32"/>
                <w:sz w:val="28"/>
              </w:rPr>
            </w:pPr>
            <w:r>
              <w:rPr>
                <w:rFonts w:hint="eastAsia" w:ascii="黑体" w:hAnsi="黑体" w:eastAsia="黑体" w:cs="黑体"/>
                <w:kern w:val="32"/>
                <w:sz w:val="28"/>
              </w:rPr>
              <w:t>年级</w:t>
            </w:r>
          </w:p>
        </w:tc>
        <w:tc>
          <w:tcPr>
            <w:tcW w:w="1567" w:type="dxa"/>
            <w:vAlign w:val="center"/>
          </w:tcPr>
          <w:p w14:paraId="0A3D1FBE">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仿宋_GB2312"/>
                <w:kern w:val="32"/>
                <w:sz w:val="28"/>
                <w:lang w:val="en-US" w:eastAsia="zh-CN"/>
              </w:rPr>
            </w:pPr>
            <w:r>
              <w:rPr>
                <w:rFonts w:hint="eastAsia" w:ascii="仿宋_GB2312" w:hAnsi="仿宋_GB2312"/>
                <w:kern w:val="32"/>
                <w:sz w:val="28"/>
                <w:lang w:val="en-US" w:eastAsia="zh-CN"/>
              </w:rPr>
              <w:t>2025级</w:t>
            </w:r>
          </w:p>
        </w:tc>
        <w:tc>
          <w:tcPr>
            <w:tcW w:w="1400" w:type="dxa"/>
            <w:vAlign w:val="center"/>
          </w:tcPr>
          <w:p w14:paraId="1AECC849">
            <w:pPr>
              <w:keepNext w:val="0"/>
              <w:keepLines w:val="0"/>
              <w:suppressLineNumbers w:val="0"/>
              <w:adjustRightInd w:val="0"/>
              <w:snapToGrid w:val="0"/>
              <w:spacing w:before="0" w:beforeAutospacing="0" w:after="0" w:afterAutospacing="0" w:line="240" w:lineRule="auto"/>
              <w:ind w:left="0" w:right="0"/>
              <w:jc w:val="center"/>
              <w:rPr>
                <w:rFonts w:hint="default" w:ascii="黑体" w:hAnsi="黑体" w:eastAsia="黑体" w:cs="黑体"/>
                <w:kern w:val="32"/>
                <w:sz w:val="28"/>
              </w:rPr>
            </w:pPr>
            <w:r>
              <w:rPr>
                <w:rFonts w:hint="eastAsia" w:ascii="黑体" w:hAnsi="黑体" w:eastAsia="黑体" w:cs="黑体"/>
                <w:kern w:val="32"/>
                <w:sz w:val="28"/>
              </w:rPr>
              <w:t>联系电话</w:t>
            </w:r>
          </w:p>
        </w:tc>
        <w:tc>
          <w:tcPr>
            <w:tcW w:w="1599" w:type="dxa"/>
            <w:vAlign w:val="center"/>
          </w:tcPr>
          <w:p w14:paraId="67C3B058">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仿宋_GB2312"/>
                <w:kern w:val="32"/>
                <w:sz w:val="28"/>
                <w:lang w:val="en-US" w:eastAsia="zh-CN"/>
              </w:rPr>
            </w:pPr>
            <w:r>
              <w:rPr>
                <w:rFonts w:hint="eastAsia" w:ascii="仿宋_GB2312" w:hAnsi="仿宋_GB2312"/>
                <w:kern w:val="32"/>
                <w:sz w:val="28"/>
                <w:lang w:val="en-US" w:eastAsia="zh-CN"/>
              </w:rPr>
              <w:t>13055778000</w:t>
            </w:r>
          </w:p>
        </w:tc>
      </w:tr>
      <w:tr w14:paraId="2C3B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0" w:type="dxa"/>
            <w:vAlign w:val="center"/>
          </w:tcPr>
          <w:p w14:paraId="4E52781C">
            <w:pPr>
              <w:keepNext w:val="0"/>
              <w:keepLines w:val="0"/>
              <w:suppressLineNumbers w:val="0"/>
              <w:adjustRightInd w:val="0"/>
              <w:snapToGrid w:val="0"/>
              <w:spacing w:before="0" w:beforeAutospacing="0" w:after="0" w:afterAutospacing="0" w:line="240" w:lineRule="auto"/>
              <w:ind w:left="0" w:right="0"/>
              <w:jc w:val="center"/>
              <w:rPr>
                <w:rFonts w:hint="default" w:ascii="黑体" w:hAnsi="黑体" w:eastAsia="黑体" w:cs="黑体"/>
                <w:kern w:val="32"/>
                <w:sz w:val="28"/>
              </w:rPr>
            </w:pPr>
            <w:r>
              <w:rPr>
                <w:rFonts w:hint="eastAsia" w:ascii="黑体" w:hAnsi="黑体" w:eastAsia="黑体" w:cs="黑体"/>
                <w:kern w:val="32"/>
                <w:sz w:val="28"/>
              </w:rPr>
              <w:t>指导教师</w:t>
            </w:r>
          </w:p>
        </w:tc>
        <w:tc>
          <w:tcPr>
            <w:tcW w:w="1473" w:type="dxa"/>
            <w:vAlign w:val="center"/>
          </w:tcPr>
          <w:p w14:paraId="04A451D1">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仿宋_GB2312"/>
                <w:kern w:val="32"/>
                <w:sz w:val="28"/>
                <w:lang w:val="en-US" w:eastAsia="zh-CN"/>
              </w:rPr>
            </w:pPr>
            <w:r>
              <w:rPr>
                <w:rFonts w:hint="eastAsia" w:ascii="仿宋_GB2312" w:hAnsi="仿宋_GB2312"/>
                <w:kern w:val="32"/>
                <w:sz w:val="28"/>
                <w:lang w:val="en-US" w:eastAsia="zh-CN"/>
              </w:rPr>
              <w:t>陈晓宁</w:t>
            </w:r>
          </w:p>
          <w:p w14:paraId="28635A78">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仿宋_GB2312"/>
                <w:kern w:val="32"/>
                <w:sz w:val="28"/>
                <w:lang w:val="en-US" w:eastAsia="zh-CN"/>
              </w:rPr>
            </w:pPr>
            <w:r>
              <w:rPr>
                <w:rFonts w:hint="eastAsia" w:ascii="仿宋_GB2312" w:hAnsi="仿宋_GB2312"/>
                <w:kern w:val="32"/>
                <w:sz w:val="28"/>
                <w:lang w:val="en-US" w:eastAsia="zh-CN"/>
              </w:rPr>
              <w:t>肖燕玲</w:t>
            </w:r>
          </w:p>
        </w:tc>
        <w:tc>
          <w:tcPr>
            <w:tcW w:w="1000" w:type="dxa"/>
            <w:vAlign w:val="center"/>
          </w:tcPr>
          <w:p w14:paraId="75A75455">
            <w:pPr>
              <w:keepNext w:val="0"/>
              <w:keepLines w:val="0"/>
              <w:suppressLineNumbers w:val="0"/>
              <w:adjustRightInd w:val="0"/>
              <w:snapToGrid w:val="0"/>
              <w:spacing w:before="0" w:beforeAutospacing="0" w:after="0" w:afterAutospacing="0" w:line="240" w:lineRule="auto"/>
              <w:ind w:left="0" w:right="0"/>
              <w:jc w:val="center"/>
              <w:rPr>
                <w:rFonts w:hint="default" w:ascii="黑体" w:hAnsi="黑体" w:eastAsia="黑体" w:cs="黑体"/>
                <w:kern w:val="32"/>
                <w:sz w:val="28"/>
              </w:rPr>
            </w:pPr>
            <w:r>
              <w:rPr>
                <w:rFonts w:hint="eastAsia" w:ascii="黑体" w:hAnsi="黑体" w:eastAsia="黑体" w:cs="黑体"/>
                <w:kern w:val="32"/>
                <w:sz w:val="28"/>
              </w:rPr>
              <w:t>职务/职称</w:t>
            </w:r>
          </w:p>
        </w:tc>
        <w:tc>
          <w:tcPr>
            <w:tcW w:w="1567" w:type="dxa"/>
            <w:vAlign w:val="center"/>
          </w:tcPr>
          <w:p w14:paraId="20424776">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仿宋_GB2312"/>
                <w:kern w:val="32"/>
                <w:sz w:val="28"/>
                <w:lang w:val="en-US" w:eastAsia="zh-CN"/>
              </w:rPr>
            </w:pPr>
            <w:r>
              <w:rPr>
                <w:rFonts w:hint="eastAsia" w:ascii="仿宋_GB2312" w:hAnsi="仿宋_GB2312"/>
                <w:kern w:val="32"/>
                <w:sz w:val="28"/>
                <w:lang w:val="en-US" w:eastAsia="zh-CN"/>
              </w:rPr>
              <w:t>辅导员/</w:t>
            </w:r>
          </w:p>
          <w:p w14:paraId="5374764C">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仿宋_GB2312"/>
                <w:kern w:val="32"/>
                <w:sz w:val="28"/>
                <w:lang w:val="en-US" w:eastAsia="zh-CN"/>
              </w:rPr>
            </w:pPr>
            <w:r>
              <w:rPr>
                <w:rFonts w:hint="eastAsia" w:ascii="仿宋_GB2312" w:hAnsi="仿宋_GB2312"/>
                <w:kern w:val="32"/>
                <w:sz w:val="28"/>
                <w:lang w:val="en-US" w:eastAsia="zh-CN"/>
              </w:rPr>
              <w:t>讲师</w:t>
            </w:r>
          </w:p>
        </w:tc>
        <w:tc>
          <w:tcPr>
            <w:tcW w:w="1400" w:type="dxa"/>
            <w:vAlign w:val="center"/>
          </w:tcPr>
          <w:p w14:paraId="4C0DDB6C">
            <w:pPr>
              <w:keepNext w:val="0"/>
              <w:keepLines w:val="0"/>
              <w:suppressLineNumbers w:val="0"/>
              <w:adjustRightInd w:val="0"/>
              <w:snapToGrid w:val="0"/>
              <w:spacing w:before="0" w:beforeAutospacing="0" w:after="0" w:afterAutospacing="0" w:line="240" w:lineRule="auto"/>
              <w:ind w:left="0" w:right="0"/>
              <w:jc w:val="center"/>
              <w:rPr>
                <w:rFonts w:hint="default" w:ascii="黑体" w:hAnsi="黑体" w:eastAsia="黑体" w:cs="黑体"/>
                <w:kern w:val="32"/>
                <w:sz w:val="28"/>
              </w:rPr>
            </w:pPr>
            <w:r>
              <w:rPr>
                <w:rFonts w:hint="eastAsia" w:ascii="黑体" w:hAnsi="黑体" w:eastAsia="黑体" w:cs="黑体"/>
                <w:kern w:val="32"/>
                <w:sz w:val="28"/>
              </w:rPr>
              <w:t>联系电话</w:t>
            </w:r>
          </w:p>
        </w:tc>
        <w:tc>
          <w:tcPr>
            <w:tcW w:w="1599" w:type="dxa"/>
            <w:vAlign w:val="center"/>
          </w:tcPr>
          <w:p w14:paraId="11ADBC8F">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仿宋_GB2312"/>
                <w:kern w:val="32"/>
                <w:sz w:val="28"/>
                <w:lang w:val="en-US" w:eastAsia="zh-CN"/>
              </w:rPr>
            </w:pPr>
            <w:r>
              <w:rPr>
                <w:rFonts w:hint="eastAsia" w:ascii="仿宋_GB2312" w:hAnsi="仿宋_GB2312"/>
                <w:kern w:val="32"/>
                <w:sz w:val="28"/>
                <w:lang w:val="en-US" w:eastAsia="zh-CN"/>
              </w:rPr>
              <w:t>15705905586</w:t>
            </w:r>
          </w:p>
          <w:p w14:paraId="62D14F29">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仿宋_GB2312"/>
                <w:kern w:val="32"/>
                <w:sz w:val="28"/>
                <w:lang w:val="en-US" w:eastAsia="zh-CN"/>
              </w:rPr>
            </w:pPr>
            <w:r>
              <w:rPr>
                <w:rFonts w:hint="eastAsia" w:ascii="仿宋_GB2312" w:hAnsi="仿宋_GB2312"/>
                <w:kern w:val="32"/>
                <w:sz w:val="28"/>
                <w:lang w:val="en-US" w:eastAsia="zh-CN"/>
              </w:rPr>
              <w:t>13799146128</w:t>
            </w:r>
          </w:p>
        </w:tc>
      </w:tr>
      <w:tr w14:paraId="7C45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9" w:type="dxa"/>
            <w:gridSpan w:val="6"/>
            <w:vAlign w:val="center"/>
          </w:tcPr>
          <w:p w14:paraId="7230DAD6">
            <w:pPr>
              <w:keepNext w:val="0"/>
              <w:keepLines w:val="0"/>
              <w:suppressLineNumbers w:val="0"/>
              <w:adjustRightInd w:val="0"/>
              <w:snapToGrid w:val="0"/>
              <w:spacing w:before="0" w:beforeAutospacing="0" w:after="0" w:afterAutospacing="0" w:line="240" w:lineRule="auto"/>
              <w:ind w:left="0" w:right="0"/>
              <w:jc w:val="center"/>
              <w:rPr>
                <w:rFonts w:hint="default" w:ascii="黑体" w:hAnsi="黑体" w:eastAsia="黑体" w:cs="黑体"/>
                <w:kern w:val="32"/>
                <w:sz w:val="28"/>
              </w:rPr>
            </w:pPr>
            <w:r>
              <w:rPr>
                <w:rFonts w:hint="eastAsia" w:ascii="黑体" w:hAnsi="黑体" w:eastAsia="黑体" w:cs="黑体"/>
                <w:kern w:val="32"/>
                <w:sz w:val="28"/>
              </w:rPr>
              <w:t>案例概述及亮点成效</w:t>
            </w:r>
            <w:r>
              <w:rPr>
                <w:rFonts w:hint="default" w:cs="Times New Roman"/>
                <w:kern w:val="32"/>
                <w:sz w:val="28"/>
              </w:rPr>
              <w:t>（1000字以内）</w:t>
            </w:r>
          </w:p>
        </w:tc>
      </w:tr>
      <w:tr w14:paraId="66D6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8" w:hRule="atLeast"/>
          <w:jc w:val="center"/>
        </w:trPr>
        <w:tc>
          <w:tcPr>
            <w:tcW w:w="8709" w:type="dxa"/>
            <w:gridSpan w:val="6"/>
          </w:tcPr>
          <w:p w14:paraId="63578E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right="0" w:firstLine="640" w:firstLineChars="200"/>
              <w:jc w:val="both"/>
              <w:textAlignment w:val="auto"/>
              <w:rPr>
                <w:rFonts w:hint="eastAsia" w:ascii="黑体" w:hAnsi="黑体" w:eastAsia="黑体" w:cs="黑体"/>
                <w:b w:val="0"/>
                <w:bCs w:val="0"/>
                <w:color w:val="auto"/>
                <w:kern w:val="32"/>
                <w:sz w:val="32"/>
                <w:szCs w:val="32"/>
                <w:lang w:val="en-US" w:eastAsia="zh-CN"/>
              </w:rPr>
            </w:pPr>
            <w:r>
              <w:rPr>
                <w:rFonts w:hint="eastAsia" w:ascii="黑体" w:hAnsi="黑体" w:eastAsia="黑体" w:cs="黑体"/>
                <w:b w:val="0"/>
                <w:bCs w:val="0"/>
                <w:color w:val="auto"/>
                <w:kern w:val="32"/>
                <w:sz w:val="32"/>
                <w:szCs w:val="32"/>
                <w:lang w:val="en-US" w:eastAsia="zh-CN"/>
              </w:rPr>
              <w:t>一、案例概述</w:t>
            </w:r>
          </w:p>
          <w:p w14:paraId="524AC2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480" w:firstLineChars="200"/>
              <w:jc w:val="both"/>
              <w:textAlignment w:val="auto"/>
              <w:rPr>
                <w:rFonts w:hint="eastAsia" w:ascii="仿宋_GB2312" w:hAnsi="仿宋_GB2312"/>
                <w:b w:val="0"/>
                <w:bCs w:val="0"/>
                <w:color w:val="auto"/>
                <w:kern w:val="32"/>
                <w:sz w:val="24"/>
                <w:szCs w:val="24"/>
                <w:lang w:val="en-US" w:eastAsia="zh-CN"/>
              </w:rPr>
            </w:pPr>
            <w:r>
              <w:rPr>
                <w:rFonts w:hint="eastAsia" w:ascii="仿宋_GB2312" w:hAnsi="仿宋_GB2312"/>
                <w:b w:val="0"/>
                <w:bCs w:val="0"/>
                <w:color w:val="auto"/>
                <w:kern w:val="32"/>
                <w:sz w:val="24"/>
                <w:szCs w:val="24"/>
                <w:lang w:val="en-US" w:eastAsia="zh-CN"/>
              </w:rPr>
              <w:t>2026年长征胜利90周年之际，武夷学院18名实践队师生赴原中央苏区县三明尤溪开展沉浸式暑期社会实践。团队将专业所学与基层所需精准对接，探寻红色精神与传统文化的交融共生，在行走的“大思政课”中完成从“看客”到“主人”的身份转变，切身感悟“小我融入大我”的内涵意义，以实际行动回答“强国建设、青年何为”的时代之问。</w:t>
            </w:r>
          </w:p>
          <w:p w14:paraId="149985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482" w:firstLineChars="200"/>
              <w:jc w:val="both"/>
              <w:textAlignment w:val="auto"/>
              <w:rPr>
                <w:rFonts w:hint="eastAsia" w:ascii="仿宋_GB2312" w:hAnsi="仿宋_GB2312"/>
                <w:b w:val="0"/>
                <w:bCs w:val="0"/>
                <w:color w:val="auto"/>
                <w:kern w:val="32"/>
                <w:sz w:val="24"/>
                <w:szCs w:val="24"/>
                <w:lang w:val="en-US" w:eastAsia="zh-CN"/>
              </w:rPr>
            </w:pPr>
            <w:r>
              <w:rPr>
                <w:rFonts w:hint="eastAsia" w:ascii="仿宋_GB2312" w:hAnsi="仿宋_GB2312"/>
                <w:b/>
                <w:bCs/>
                <w:color w:val="auto"/>
                <w:kern w:val="32"/>
                <w:sz w:val="24"/>
                <w:szCs w:val="24"/>
                <w:lang w:val="en-US" w:eastAsia="zh-CN"/>
              </w:rPr>
              <w:t>循迹践悟，筑牢信仰根基。</w:t>
            </w:r>
            <w:r>
              <w:rPr>
                <w:rFonts w:hint="eastAsia" w:ascii="仿宋_GB2312" w:hAnsi="仿宋_GB2312"/>
                <w:b w:val="0"/>
                <w:bCs w:val="0"/>
                <w:color w:val="auto"/>
                <w:kern w:val="32"/>
                <w:sz w:val="24"/>
                <w:szCs w:val="24"/>
                <w:lang w:val="en-US" w:eastAsia="zh-CN"/>
              </w:rPr>
              <w:t>团队走进朱子文化园、闽赣省苏维埃政府旧址追寻初心，深入半山村、桂峰村调研乡村蝶变，访谈全国优秀共产党员林上斗、桂峰村书记蔡华日。面向乡村青少年开设“红色小课堂”，开展长征故事、朱子家风等主题宣讲16场，服务1000余人次，让红色基因与优秀传统文化薪火相传。</w:t>
            </w:r>
          </w:p>
          <w:p w14:paraId="09FD3B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482" w:firstLineChars="200"/>
              <w:jc w:val="both"/>
              <w:textAlignment w:val="auto"/>
              <w:rPr>
                <w:rFonts w:hint="eastAsia" w:ascii="仿宋_GB2312" w:hAnsi="仿宋_GB2312"/>
                <w:b w:val="0"/>
                <w:bCs w:val="0"/>
                <w:color w:val="auto"/>
                <w:kern w:val="32"/>
                <w:sz w:val="24"/>
                <w:szCs w:val="24"/>
                <w:lang w:val="en-US" w:eastAsia="zh-CN"/>
              </w:rPr>
            </w:pPr>
            <w:r>
              <w:rPr>
                <w:rFonts w:hint="eastAsia" w:ascii="仿宋_GB2312" w:hAnsi="仿宋_GB2312"/>
                <w:b/>
                <w:bCs/>
                <w:color w:val="auto"/>
                <w:kern w:val="32"/>
                <w:sz w:val="24"/>
                <w:szCs w:val="24"/>
                <w:lang w:val="en-US" w:eastAsia="zh-CN"/>
              </w:rPr>
              <w:t>专业下沉，赋能乡村发展。</w:t>
            </w:r>
            <w:r>
              <w:rPr>
                <w:rFonts w:hint="eastAsia" w:ascii="仿宋_GB2312" w:hAnsi="仿宋_GB2312"/>
                <w:b w:val="0"/>
                <w:bCs w:val="0"/>
                <w:color w:val="auto"/>
                <w:kern w:val="32"/>
                <w:sz w:val="24"/>
                <w:szCs w:val="24"/>
                <w:lang w:val="en-US" w:eastAsia="zh-CN"/>
              </w:rPr>
              <w:t>发挥广播电视编导、视觉传达设计等专业优势，开展乡村文旅调研、红色纪实影像摄制、文旅文创设计，将课堂所学转化为服务地方的实际成果，并推动校地实践基地共建，实现从“一次实践”向“长效育人”延伸。</w:t>
            </w:r>
          </w:p>
          <w:p w14:paraId="451DCD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640" w:firstLineChars="200"/>
              <w:jc w:val="both"/>
              <w:textAlignment w:val="auto"/>
              <w:rPr>
                <w:rFonts w:hint="eastAsia" w:ascii="黑体" w:hAnsi="黑体" w:eastAsia="黑体" w:cs="黑体"/>
                <w:b w:val="0"/>
                <w:bCs w:val="0"/>
                <w:color w:val="auto"/>
                <w:kern w:val="32"/>
                <w:sz w:val="32"/>
                <w:szCs w:val="32"/>
                <w:lang w:val="en-US" w:eastAsia="zh-CN"/>
              </w:rPr>
            </w:pPr>
            <w:r>
              <w:rPr>
                <w:rFonts w:hint="eastAsia" w:ascii="黑体" w:hAnsi="黑体" w:eastAsia="黑体" w:cs="黑体"/>
                <w:b w:val="0"/>
                <w:bCs w:val="0"/>
                <w:color w:val="auto"/>
                <w:kern w:val="32"/>
                <w:sz w:val="32"/>
                <w:szCs w:val="32"/>
                <w:lang w:val="en-US" w:eastAsia="zh-CN"/>
              </w:rPr>
              <w:t>二、亮点成效</w:t>
            </w:r>
          </w:p>
          <w:p w14:paraId="21997C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482" w:firstLineChars="200"/>
              <w:jc w:val="both"/>
              <w:textAlignment w:val="auto"/>
              <w:rPr>
                <w:rFonts w:hint="eastAsia" w:ascii="仿宋_GB2312" w:hAnsi="仿宋_GB2312"/>
                <w:b w:val="0"/>
                <w:bCs w:val="0"/>
                <w:color w:val="auto"/>
                <w:kern w:val="32"/>
                <w:sz w:val="24"/>
                <w:szCs w:val="24"/>
                <w:lang w:val="en-US" w:eastAsia="zh-CN"/>
              </w:rPr>
            </w:pPr>
            <w:r>
              <w:rPr>
                <w:rFonts w:hint="eastAsia" w:ascii="仿宋_GB2312" w:hAnsi="仿宋_GB2312"/>
                <w:b/>
                <w:bCs/>
                <w:color w:val="auto"/>
                <w:kern w:val="32"/>
                <w:sz w:val="24"/>
                <w:szCs w:val="24"/>
                <w:lang w:val="en-US" w:eastAsia="zh-CN"/>
              </w:rPr>
              <w:t>双脉融育，构建红色铸魂、文脉润心的特色育人场景。</w:t>
            </w:r>
            <w:r>
              <w:rPr>
                <w:rFonts w:hint="eastAsia" w:ascii="仿宋_GB2312" w:hAnsi="仿宋_GB2312"/>
                <w:b w:val="0"/>
                <w:bCs w:val="0"/>
                <w:color w:val="auto"/>
                <w:kern w:val="32"/>
                <w:sz w:val="24"/>
                <w:szCs w:val="24"/>
                <w:lang w:val="en-US" w:eastAsia="zh-CN"/>
              </w:rPr>
              <w:t>立足尤溪兼具闽赣苏区红色资源与朱子文化资源的独特禀赋，将苏区革命精神与朱子文化中的家国情怀、修身担当有机贯通，把革命旧址、文化遗存、传统村落和乡村振兴串联成实践育人场域，形成铸魂、润心、砺行的育人路径，推动青年从“看遗址、听故事”向“悟精神、强自信、担使命”深化，形成具有闽中特色的“大思政课”实践表达。</w:t>
            </w:r>
          </w:p>
          <w:p w14:paraId="314D79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482" w:firstLineChars="200"/>
              <w:jc w:val="both"/>
              <w:textAlignment w:val="auto"/>
              <w:rPr>
                <w:rFonts w:hint="eastAsia" w:ascii="仿宋_GB2312" w:hAnsi="仿宋_GB2312"/>
                <w:b w:val="0"/>
                <w:bCs w:val="0"/>
                <w:color w:val="auto"/>
                <w:kern w:val="32"/>
                <w:sz w:val="24"/>
                <w:szCs w:val="24"/>
                <w:lang w:val="en-US" w:eastAsia="zh-CN"/>
              </w:rPr>
            </w:pPr>
            <w:r>
              <w:rPr>
                <w:rFonts w:hint="eastAsia" w:ascii="仿宋_GB2312" w:hAnsi="仿宋_GB2312"/>
                <w:b/>
                <w:bCs/>
                <w:color w:val="auto"/>
                <w:kern w:val="32"/>
                <w:sz w:val="24"/>
                <w:szCs w:val="24"/>
                <w:lang w:val="en-US" w:eastAsia="zh-CN"/>
              </w:rPr>
              <w:t>专创融乡，构建“研学讲创用”一体化专业赋能链条。</w:t>
            </w:r>
            <w:r>
              <w:rPr>
                <w:rFonts w:hint="eastAsia" w:ascii="仿宋_GB2312" w:hAnsi="仿宋_GB2312"/>
                <w:b w:val="0"/>
                <w:bCs w:val="0"/>
                <w:color w:val="auto"/>
                <w:kern w:val="32"/>
                <w:sz w:val="24"/>
                <w:szCs w:val="24"/>
                <w:lang w:val="en-US" w:eastAsia="zh-CN"/>
              </w:rPr>
              <w:t>坚持“地方出题、专业答题、青年解题”，把专业课堂搬到乡村、基层需求转化为实践课题，将调查研究、理论学习、青年宣讲、专业创作、成果应用贯穿全过程。围绕古村落活化、红色文化年轻化传播、乡村文旅发展，形成上万字口述访谈实录、1份调研报告、32份文创作品、4个文化IP及一批研学微课视频（获省级表彰），推动成果从实践作业向基层应用场转化，实现从“参加一次实践”向“解决一类需求”跃升。</w:t>
            </w:r>
          </w:p>
          <w:p w14:paraId="26085B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482" w:firstLineChars="200"/>
              <w:jc w:val="both"/>
              <w:textAlignment w:val="auto"/>
              <w:rPr>
                <w:rFonts w:hint="eastAsia" w:ascii="仿宋_GB2312" w:hAnsi="仿宋_GB2312"/>
                <w:b w:val="0"/>
                <w:bCs w:val="0"/>
                <w:color w:val="auto"/>
                <w:kern w:val="32"/>
                <w:sz w:val="24"/>
                <w:szCs w:val="24"/>
                <w:lang w:val="en-US" w:eastAsia="zh-CN"/>
              </w:rPr>
            </w:pPr>
            <w:r>
              <w:rPr>
                <w:rFonts w:hint="eastAsia" w:ascii="仿宋_GB2312" w:hAnsi="仿宋_GB2312"/>
                <w:b/>
                <w:bCs/>
                <w:color w:val="auto"/>
                <w:kern w:val="32"/>
                <w:sz w:val="24"/>
                <w:szCs w:val="24"/>
                <w:lang w:val="en-US" w:eastAsia="zh-CN"/>
              </w:rPr>
              <w:t>校地共育，构建长效协同、成果外溢的实践育人机制。</w:t>
            </w:r>
            <w:r>
              <w:rPr>
                <w:rFonts w:hint="eastAsia" w:ascii="仿宋_GB2312" w:hAnsi="仿宋_GB2312"/>
                <w:b w:val="0"/>
                <w:bCs w:val="0"/>
                <w:color w:val="auto"/>
                <w:kern w:val="32"/>
                <w:sz w:val="24"/>
                <w:szCs w:val="24"/>
                <w:lang w:val="en-US" w:eastAsia="zh-CN"/>
              </w:rPr>
              <w:t>以校地实践基地共建为纽带，探索“需求对接—项目实施—成果转化—持续服务”机制，推动“一次性实践”向“常态化合作”、学生单向学习向校地双向赋能转变。实践事迹获中国青年报、中国日报、中国新闻网、新福建等30余家媒体报道，全网总浏览量突破600万，形成“文化资源融入思政育人、专业能力回应基层需求、实践成果反哺地方发展”的工作路径，为地方本科院校开展特色社会实践提供可借鉴的实践样本。</w:t>
            </w:r>
          </w:p>
          <w:p w14:paraId="016BBFDD">
            <w:pPr>
              <w:keepNext w:val="0"/>
              <w:keepLines w:val="0"/>
              <w:suppressLineNumbers w:val="0"/>
              <w:wordWrap w:val="0"/>
              <w:spacing w:before="0" w:beforeAutospacing="0" w:after="0" w:afterAutospacing="0" w:line="360" w:lineRule="auto"/>
              <w:ind w:left="0" w:right="0" w:firstLine="560" w:firstLineChars="200"/>
              <w:jc w:val="left"/>
              <w:rPr>
                <w:rFonts w:hint="default" w:cs="Times New Roman"/>
                <w:sz w:val="28"/>
                <w:shd w:val="clear" w:color="auto" w:fill="FFFFFF"/>
              </w:rPr>
            </w:pPr>
            <w:r>
              <w:rPr>
                <w:rFonts w:hint="eastAsia" w:cs="Times New Roman"/>
                <w:sz w:val="28"/>
                <w:shd w:val="clear" w:color="auto" w:fill="FFFFFF"/>
                <w:lang w:val="en-US" w:eastAsia="zh-CN"/>
              </w:rPr>
              <w:t>负</w:t>
            </w:r>
            <w:r>
              <w:rPr>
                <w:rFonts w:hint="eastAsia" w:cs="Times New Roman"/>
                <w:sz w:val="28"/>
                <w:shd w:val="clear" w:color="auto" w:fill="FFFFFF"/>
              </w:rPr>
              <w:t>责人签字：                指导教师签字：</w:t>
            </w:r>
          </w:p>
          <w:p w14:paraId="70E7B9EB">
            <w:pPr>
              <w:keepNext w:val="0"/>
              <w:keepLines w:val="0"/>
              <w:suppressLineNumbers w:val="0"/>
              <w:wordWrap w:val="0"/>
              <w:spacing w:before="0" w:beforeAutospacing="0" w:after="0" w:afterAutospacing="0" w:line="360" w:lineRule="auto"/>
              <w:ind w:left="0" w:right="0"/>
              <w:jc w:val="right"/>
              <w:rPr>
                <w:rFonts w:hint="default" w:cs="Times New Roman"/>
                <w:b/>
                <w:bCs/>
                <w:sz w:val="24"/>
                <w:szCs w:val="24"/>
                <w:shd w:val="clear" w:color="auto" w:fill="FFFFFF"/>
              </w:rPr>
            </w:pPr>
            <w:r>
              <w:rPr>
                <w:rFonts w:hint="eastAsia" w:cs="Times New Roman"/>
                <w:sz w:val="28"/>
                <w:shd w:val="clear" w:color="auto" w:fill="FFFFFF"/>
              </w:rPr>
              <w:t xml:space="preserve">        年     月     日 </w:t>
            </w:r>
          </w:p>
        </w:tc>
      </w:tr>
      <w:tr w14:paraId="294E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670" w:type="dxa"/>
            <w:vAlign w:val="center"/>
          </w:tcPr>
          <w:p w14:paraId="46B00B59">
            <w:pPr>
              <w:keepNext w:val="0"/>
              <w:keepLines w:val="0"/>
              <w:suppressLineNumbers w:val="0"/>
              <w:spacing w:before="0" w:beforeAutospacing="0" w:after="0" w:afterAutospacing="0" w:line="440" w:lineRule="exact"/>
              <w:ind w:left="0" w:right="0"/>
              <w:jc w:val="center"/>
              <w:rPr>
                <w:rFonts w:hint="default" w:ascii="黑体" w:hAnsi="黑体" w:eastAsia="黑体" w:cs="黑体"/>
                <w:kern w:val="32"/>
                <w:sz w:val="28"/>
              </w:rPr>
            </w:pPr>
            <w:r>
              <w:rPr>
                <w:rFonts w:hint="eastAsia" w:ascii="黑体" w:hAnsi="黑体" w:eastAsia="黑体" w:cs="黑体"/>
                <w:kern w:val="32"/>
                <w:sz w:val="28"/>
              </w:rPr>
              <w:t>所在单位</w:t>
            </w:r>
          </w:p>
          <w:p w14:paraId="0AA32DD6">
            <w:pPr>
              <w:keepNext w:val="0"/>
              <w:keepLines w:val="0"/>
              <w:suppressLineNumbers w:val="0"/>
              <w:spacing w:before="0" w:beforeAutospacing="0" w:after="0" w:afterAutospacing="0" w:line="440" w:lineRule="exact"/>
              <w:ind w:left="0" w:right="0"/>
              <w:jc w:val="center"/>
              <w:rPr>
                <w:rFonts w:hint="default" w:cs="Times New Roman"/>
                <w:b/>
                <w:bCs/>
                <w:sz w:val="28"/>
                <w:shd w:val="clear" w:color="auto" w:fill="FFFFFF"/>
              </w:rPr>
            </w:pPr>
            <w:r>
              <w:rPr>
                <w:rFonts w:hint="eastAsia" w:ascii="黑体" w:hAnsi="黑体" w:eastAsia="黑体" w:cs="黑体"/>
                <w:kern w:val="32"/>
                <w:sz w:val="28"/>
              </w:rPr>
              <w:t>推荐意见</w:t>
            </w:r>
          </w:p>
        </w:tc>
        <w:tc>
          <w:tcPr>
            <w:tcW w:w="7039" w:type="dxa"/>
            <w:gridSpan w:val="5"/>
            <w:vAlign w:val="center"/>
          </w:tcPr>
          <w:p w14:paraId="2BBEE208">
            <w:pPr>
              <w:keepNext w:val="0"/>
              <w:keepLines w:val="0"/>
              <w:suppressLineNumbers w:val="0"/>
              <w:spacing w:before="0" w:beforeAutospacing="0" w:after="0" w:afterAutospacing="0" w:line="440" w:lineRule="exact"/>
              <w:ind w:left="0" w:right="0" w:firstLine="2530" w:firstLineChars="900"/>
              <w:rPr>
                <w:rFonts w:hint="default" w:cs="Times New Roman"/>
                <w:b/>
                <w:bCs/>
                <w:sz w:val="28"/>
                <w:shd w:val="clear" w:color="auto" w:fill="FFFFFF"/>
              </w:rPr>
            </w:pPr>
          </w:p>
          <w:p w14:paraId="58A6CD28">
            <w:pPr>
              <w:keepNext w:val="0"/>
              <w:keepLines w:val="0"/>
              <w:suppressLineNumbers w:val="0"/>
              <w:spacing w:before="0" w:beforeAutospacing="0" w:after="0" w:afterAutospacing="0" w:line="440" w:lineRule="exact"/>
              <w:ind w:left="0" w:right="0" w:firstLine="2530" w:firstLineChars="900"/>
              <w:rPr>
                <w:rFonts w:hint="default" w:cs="Times New Roman"/>
                <w:b/>
                <w:bCs/>
                <w:sz w:val="28"/>
                <w:shd w:val="clear" w:color="auto" w:fill="FFFFFF"/>
              </w:rPr>
            </w:pPr>
          </w:p>
          <w:p w14:paraId="31F68B85">
            <w:pPr>
              <w:keepNext w:val="0"/>
              <w:keepLines w:val="0"/>
              <w:suppressLineNumbers w:val="0"/>
              <w:spacing w:before="0" w:beforeAutospacing="0" w:after="0" w:afterAutospacing="0" w:line="360" w:lineRule="auto"/>
              <w:ind w:left="0" w:right="0" w:firstLine="3935" w:firstLineChars="1400"/>
              <w:rPr>
                <w:rFonts w:hint="default" w:cs="Times New Roman"/>
                <w:sz w:val="28"/>
                <w:shd w:val="clear" w:color="auto" w:fill="FFFFFF"/>
              </w:rPr>
            </w:pPr>
            <w:r>
              <w:rPr>
                <w:rFonts w:hint="eastAsia" w:cs="Times New Roman"/>
                <w:b/>
                <w:bCs/>
                <w:sz w:val="28"/>
                <w:shd w:val="clear" w:color="auto" w:fill="FFFFFF"/>
              </w:rPr>
              <w:t xml:space="preserve"> </w:t>
            </w:r>
            <w:r>
              <w:rPr>
                <w:rFonts w:hint="eastAsia" w:cs="Times New Roman"/>
                <w:sz w:val="28"/>
                <w:shd w:val="clear" w:color="auto" w:fill="FFFFFF"/>
              </w:rPr>
              <w:t>（盖章）：</w:t>
            </w:r>
          </w:p>
          <w:p w14:paraId="74A8FF67">
            <w:pPr>
              <w:keepNext w:val="0"/>
              <w:keepLines w:val="0"/>
              <w:suppressLineNumbers w:val="0"/>
              <w:wordWrap w:val="0"/>
              <w:spacing w:before="0" w:beforeAutospacing="0" w:after="0" w:afterAutospacing="0" w:line="360" w:lineRule="auto"/>
              <w:ind w:left="0" w:right="0"/>
              <w:jc w:val="right"/>
              <w:rPr>
                <w:rFonts w:hint="default" w:cs="Times New Roman"/>
                <w:b/>
                <w:bCs/>
                <w:sz w:val="28"/>
                <w:shd w:val="clear" w:color="auto" w:fill="FFFFFF"/>
              </w:rPr>
            </w:pPr>
            <w:r>
              <w:rPr>
                <w:rFonts w:hint="eastAsia" w:cs="Times New Roman"/>
                <w:sz w:val="28"/>
                <w:shd w:val="clear" w:color="auto" w:fill="FFFFFF"/>
              </w:rPr>
              <w:t xml:space="preserve">年     月     日 </w:t>
            </w:r>
          </w:p>
        </w:tc>
      </w:tr>
      <w:tr w14:paraId="7E11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1670" w:type="dxa"/>
            <w:vAlign w:val="center"/>
          </w:tcPr>
          <w:p w14:paraId="5BE91D1E">
            <w:pPr>
              <w:keepNext w:val="0"/>
              <w:keepLines w:val="0"/>
              <w:suppressLineNumbers w:val="0"/>
              <w:spacing w:before="0" w:beforeAutospacing="0" w:after="0" w:afterAutospacing="0" w:line="440" w:lineRule="exact"/>
              <w:ind w:left="0" w:right="0"/>
              <w:jc w:val="center"/>
              <w:rPr>
                <w:rFonts w:hint="default" w:ascii="黑体" w:hAnsi="黑体" w:eastAsia="黑体" w:cs="黑体"/>
                <w:kern w:val="32"/>
                <w:sz w:val="28"/>
              </w:rPr>
            </w:pPr>
            <w:r>
              <w:rPr>
                <w:rFonts w:hint="eastAsia" w:ascii="黑体" w:hAnsi="黑体" w:eastAsia="黑体" w:cs="黑体"/>
                <w:kern w:val="32"/>
                <w:sz w:val="28"/>
              </w:rPr>
              <w:t>所在省（</w:t>
            </w:r>
          </w:p>
          <w:p w14:paraId="0FB11020">
            <w:pPr>
              <w:keepNext w:val="0"/>
              <w:keepLines w:val="0"/>
              <w:suppressLineNumbers w:val="0"/>
              <w:spacing w:before="0" w:beforeAutospacing="0" w:after="0" w:afterAutospacing="0" w:line="440" w:lineRule="exact"/>
              <w:ind w:left="0" w:right="0"/>
              <w:jc w:val="center"/>
              <w:rPr>
                <w:rFonts w:hint="default" w:ascii="黑体" w:hAnsi="黑体" w:eastAsia="黑体" w:cs="黑体"/>
                <w:kern w:val="32"/>
                <w:sz w:val="28"/>
              </w:rPr>
            </w:pPr>
            <w:r>
              <w:rPr>
                <w:rFonts w:hint="eastAsia" w:ascii="黑体" w:hAnsi="黑体" w:eastAsia="黑体" w:cs="黑体"/>
                <w:kern w:val="32"/>
                <w:sz w:val="28"/>
              </w:rPr>
              <w:t>区、市）</w:t>
            </w:r>
          </w:p>
          <w:p w14:paraId="45EF9228">
            <w:pPr>
              <w:keepNext w:val="0"/>
              <w:keepLines w:val="0"/>
              <w:suppressLineNumbers w:val="0"/>
              <w:spacing w:before="0" w:beforeAutospacing="0" w:after="0" w:afterAutospacing="0" w:line="440" w:lineRule="exact"/>
              <w:ind w:left="0" w:right="0"/>
              <w:jc w:val="center"/>
              <w:rPr>
                <w:rFonts w:hint="default" w:cs="Times New Roman"/>
                <w:b/>
                <w:bCs/>
                <w:sz w:val="28"/>
                <w:shd w:val="clear" w:color="auto" w:fill="FFFFFF"/>
              </w:rPr>
            </w:pPr>
            <w:r>
              <w:rPr>
                <w:rFonts w:hint="eastAsia" w:ascii="黑体" w:hAnsi="黑体" w:eastAsia="黑体" w:cs="黑体"/>
                <w:kern w:val="32"/>
                <w:sz w:val="28"/>
              </w:rPr>
              <w:t>推荐意见</w:t>
            </w:r>
          </w:p>
        </w:tc>
        <w:tc>
          <w:tcPr>
            <w:tcW w:w="7039" w:type="dxa"/>
            <w:gridSpan w:val="5"/>
            <w:vAlign w:val="center"/>
          </w:tcPr>
          <w:p w14:paraId="2B5BEC64">
            <w:pPr>
              <w:keepNext w:val="0"/>
              <w:keepLines w:val="0"/>
              <w:suppressLineNumbers w:val="0"/>
              <w:spacing w:before="0" w:beforeAutospacing="0" w:after="0" w:afterAutospacing="0" w:line="440" w:lineRule="exact"/>
              <w:ind w:left="0" w:right="0"/>
              <w:rPr>
                <w:rFonts w:hint="default" w:cs="Times New Roman"/>
                <w:b/>
                <w:bCs/>
                <w:sz w:val="28"/>
                <w:shd w:val="clear" w:color="auto" w:fill="FFFFFF"/>
              </w:rPr>
            </w:pPr>
          </w:p>
          <w:p w14:paraId="0E10AD23">
            <w:pPr>
              <w:keepNext w:val="0"/>
              <w:keepLines w:val="0"/>
              <w:suppressLineNumbers w:val="0"/>
              <w:spacing w:before="0" w:beforeAutospacing="0" w:after="0" w:afterAutospacing="0" w:line="360" w:lineRule="auto"/>
              <w:ind w:left="0" w:right="0" w:firstLine="3935" w:firstLineChars="1400"/>
              <w:rPr>
                <w:rFonts w:hint="default" w:cs="Times New Roman"/>
                <w:sz w:val="28"/>
                <w:shd w:val="clear" w:color="auto" w:fill="FFFFFF"/>
              </w:rPr>
            </w:pPr>
            <w:r>
              <w:rPr>
                <w:rFonts w:hint="eastAsia" w:cs="Times New Roman"/>
                <w:b/>
                <w:bCs/>
                <w:sz w:val="28"/>
                <w:shd w:val="clear" w:color="auto" w:fill="FFFFFF"/>
              </w:rPr>
              <w:t xml:space="preserve"> </w:t>
            </w:r>
            <w:r>
              <w:rPr>
                <w:rFonts w:hint="eastAsia" w:cs="Times New Roman"/>
                <w:sz w:val="28"/>
                <w:shd w:val="clear" w:color="auto" w:fill="FFFFFF"/>
              </w:rPr>
              <w:t>（盖章）：</w:t>
            </w:r>
          </w:p>
          <w:p w14:paraId="3D4E78F5">
            <w:pPr>
              <w:keepNext w:val="0"/>
              <w:keepLines w:val="0"/>
              <w:suppressLineNumbers w:val="0"/>
              <w:wordWrap w:val="0"/>
              <w:spacing w:before="0" w:beforeAutospacing="0" w:after="0" w:afterAutospacing="0" w:line="360" w:lineRule="auto"/>
              <w:ind w:left="0" w:right="0" w:firstLine="560" w:firstLineChars="200"/>
              <w:jc w:val="right"/>
              <w:rPr>
                <w:rFonts w:hint="default" w:cs="Times New Roman"/>
                <w:b/>
                <w:bCs/>
                <w:sz w:val="28"/>
                <w:shd w:val="clear" w:color="auto" w:fill="FFFFFF"/>
              </w:rPr>
            </w:pPr>
            <w:r>
              <w:rPr>
                <w:rFonts w:hint="eastAsia" w:cs="Times New Roman"/>
                <w:sz w:val="28"/>
                <w:shd w:val="clear" w:color="auto" w:fill="FFFFFF"/>
              </w:rPr>
              <w:t xml:space="preserve">年     月     日 </w:t>
            </w:r>
          </w:p>
        </w:tc>
      </w:tr>
    </w:tbl>
    <w:p w14:paraId="07D6CA4E">
      <w:pPr>
        <w:spacing w:line="440" w:lineRule="exact"/>
        <w:ind w:firstLine="640" w:firstLineChars="200"/>
      </w:pPr>
    </w:p>
    <w:p w14:paraId="41C62249">
      <w:pPr>
        <w:spacing w:line="600" w:lineRule="exact"/>
        <w:jc w:val="center"/>
        <w:rPr>
          <w:rFonts w:hint="eastAsia"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shd w:val="clear" w:color="auto" w:fill="FFFFFF"/>
        </w:rPr>
        <w:t>2026年“小我融入大我，青春献给祖国”</w:t>
      </w:r>
    </w:p>
    <w:p w14:paraId="691E1E96">
      <w:pPr>
        <w:spacing w:line="600" w:lineRule="exact"/>
        <w:jc w:val="center"/>
        <w:rPr>
          <w:rFonts w:hint="eastAsia"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shd w:val="clear" w:color="auto" w:fill="FFFFFF"/>
        </w:rPr>
        <w:t>高校师生主题社会实践优秀案例推荐表</w:t>
      </w:r>
    </w:p>
    <w:p w14:paraId="4388590D">
      <w:pPr>
        <w:spacing w:line="600" w:lineRule="exact"/>
        <w:jc w:val="center"/>
        <w:rPr>
          <w:rFonts w:hint="eastAsia" w:ascii="方正小标宋简体" w:hAnsi="方正小标宋简体" w:eastAsia="方正小标宋简体" w:cs="方正小标宋简体"/>
          <w:sz w:val="44"/>
          <w:szCs w:val="44"/>
          <w:shd w:val="clear" w:color="auto" w:fill="FFFFFF"/>
        </w:rPr>
      </w:pPr>
    </w:p>
    <w:p w14:paraId="60CD2B87">
      <w:pPr>
        <w:adjustRightInd w:val="0"/>
        <w:snapToGrid w:val="0"/>
        <w:spacing w:after="225" w:afterLines="50" w:line="520" w:lineRule="exact"/>
        <w:jc w:val="left"/>
        <w:rPr>
          <w:rFonts w:hint="eastAsia" w:ascii="方正小标宋简体" w:hAnsi="方正小标宋简体" w:eastAsia="方正小标宋简体" w:cs="方正小标宋简体"/>
          <w:sz w:val="28"/>
          <w:shd w:val="clear" w:color="auto" w:fill="FFFFFF"/>
        </w:rPr>
      </w:pPr>
      <w:r>
        <w:rPr>
          <w:rFonts w:hint="eastAsia" w:ascii="黑体" w:hAnsi="黑体" w:eastAsia="黑体" w:cs="黑体"/>
          <w:kern w:val="32"/>
          <w:sz w:val="28"/>
        </w:rPr>
        <w:t>案例所在单位联系人：</w:t>
      </w:r>
      <w:r>
        <w:rPr>
          <w:rFonts w:hint="eastAsia" w:ascii="黑体" w:hAnsi="黑体" w:eastAsia="黑体" w:cs="黑体"/>
          <w:kern w:val="32"/>
          <w:sz w:val="28"/>
          <w:u w:val="single"/>
        </w:rPr>
        <w:t xml:space="preserve">  </w:t>
      </w:r>
      <w:r>
        <w:rPr>
          <w:rFonts w:hint="eastAsia" w:ascii="黑体" w:hAnsi="黑体" w:eastAsia="黑体" w:cs="黑体"/>
          <w:kern w:val="32"/>
          <w:sz w:val="28"/>
          <w:u w:val="single"/>
          <w:lang w:val="en-US" w:eastAsia="zh-CN"/>
        </w:rPr>
        <w:t>黄春安</w:t>
      </w:r>
      <w:r>
        <w:rPr>
          <w:rFonts w:hint="eastAsia" w:ascii="黑体" w:hAnsi="黑体" w:eastAsia="黑体" w:cs="黑体"/>
          <w:kern w:val="32"/>
          <w:sz w:val="28"/>
          <w:u w:val="single"/>
        </w:rPr>
        <w:t xml:space="preserve">  </w:t>
      </w:r>
      <w:r>
        <w:rPr>
          <w:rFonts w:hint="eastAsia" w:ascii="黑体" w:hAnsi="黑体" w:eastAsia="黑体" w:cs="黑体"/>
          <w:kern w:val="32"/>
          <w:sz w:val="28"/>
        </w:rPr>
        <w:t xml:space="preserve">   联系电话：</w:t>
      </w:r>
      <w:r>
        <w:rPr>
          <w:rFonts w:hint="eastAsia" w:ascii="黑体" w:hAnsi="黑体" w:eastAsia="黑体" w:cs="黑体"/>
          <w:kern w:val="32"/>
          <w:sz w:val="28"/>
          <w:u w:val="single"/>
        </w:rPr>
        <w:t xml:space="preserve"> </w:t>
      </w:r>
      <w:r>
        <w:rPr>
          <w:rFonts w:hint="eastAsia" w:ascii="黑体" w:hAnsi="黑体" w:eastAsia="黑体" w:cs="黑体"/>
          <w:kern w:val="32"/>
          <w:sz w:val="28"/>
          <w:u w:val="single"/>
          <w:lang w:val="en-US" w:eastAsia="zh-CN"/>
        </w:rPr>
        <w:t>15305996770</w:t>
      </w:r>
      <w:r>
        <w:rPr>
          <w:rFonts w:hint="eastAsia" w:ascii="黑体" w:hAnsi="黑体" w:eastAsia="黑体" w:cs="黑体"/>
          <w:kern w:val="32"/>
          <w:sz w:val="28"/>
          <w:u w:val="single"/>
        </w:rPr>
        <w:t xml:space="preserve">   </w:t>
      </w:r>
    </w:p>
    <w:tbl>
      <w:tblPr>
        <w:tblStyle w:val="5"/>
        <w:tblW w:w="8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8"/>
        <w:gridCol w:w="1436"/>
        <w:gridCol w:w="983"/>
        <w:gridCol w:w="1540"/>
        <w:gridCol w:w="1366"/>
        <w:gridCol w:w="1756"/>
      </w:tblGrid>
      <w:tr w14:paraId="1BDD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670" w:type="dxa"/>
            <w:vAlign w:val="center"/>
          </w:tcPr>
          <w:p w14:paraId="3A0BB1C9">
            <w:pPr>
              <w:adjustRightInd w:val="0"/>
              <w:snapToGrid w:val="0"/>
              <w:spacing w:line="240" w:lineRule="auto"/>
              <w:jc w:val="center"/>
              <w:rPr>
                <w:rFonts w:hint="eastAsia" w:ascii="黑体" w:hAnsi="黑体" w:eastAsia="黑体" w:cs="黑体"/>
                <w:kern w:val="32"/>
                <w:sz w:val="28"/>
              </w:rPr>
            </w:pPr>
            <w:r>
              <w:rPr>
                <w:rFonts w:hint="eastAsia" w:ascii="黑体" w:hAnsi="黑体" w:eastAsia="黑体" w:cs="黑体"/>
                <w:kern w:val="32"/>
                <w:sz w:val="28"/>
              </w:rPr>
              <w:t>案例主题</w:t>
            </w:r>
          </w:p>
        </w:tc>
        <w:tc>
          <w:tcPr>
            <w:tcW w:w="7039" w:type="dxa"/>
            <w:gridSpan w:val="5"/>
            <w:vAlign w:val="center"/>
          </w:tcPr>
          <w:p w14:paraId="6DB03A64">
            <w:pPr>
              <w:adjustRightInd w:val="0"/>
              <w:snapToGrid w:val="0"/>
              <w:spacing w:line="240" w:lineRule="auto"/>
              <w:jc w:val="center"/>
              <w:rPr>
                <w:rFonts w:hint="eastAsia" w:ascii="仿宋_GB2312" w:hAnsi="仿宋_GB2312"/>
                <w:kern w:val="32"/>
                <w:sz w:val="28"/>
              </w:rPr>
            </w:pPr>
            <w:r>
              <w:rPr>
                <w:rFonts w:hint="eastAsia" w:ascii="仿宋_GB2312" w:hAnsi="仿宋_GB2312"/>
                <w:kern w:val="32"/>
                <w:sz w:val="28"/>
              </w:rPr>
              <w:sym w:font="Wingdings" w:char="00A8"/>
            </w:r>
            <w:r>
              <w:rPr>
                <w:rFonts w:hint="eastAsia" w:ascii="仿宋_GB2312" w:hAnsi="仿宋_GB2312"/>
                <w:kern w:val="32"/>
                <w:sz w:val="28"/>
              </w:rPr>
              <w:t xml:space="preserve">追寻足迹  </w:t>
            </w:r>
            <w:r>
              <w:rPr>
                <w:rFonts w:hint="eastAsia" w:ascii="仿宋_GB2312" w:hAnsi="仿宋_GB2312"/>
                <w:kern w:val="32"/>
                <w:sz w:val="28"/>
              </w:rPr>
              <w:sym w:font="Wingdings" w:char="00A8"/>
            </w:r>
            <w:r>
              <w:rPr>
                <w:rFonts w:hint="eastAsia" w:ascii="仿宋_GB2312" w:hAnsi="仿宋_GB2312"/>
                <w:kern w:val="32"/>
                <w:sz w:val="28"/>
              </w:rPr>
              <w:t xml:space="preserve">请党放心  </w:t>
            </w:r>
            <w:r>
              <w:rPr>
                <w:rFonts w:hint="eastAsia" w:ascii="仿宋_GB2312" w:hAnsi="仿宋_GB2312"/>
                <w:kern w:val="32"/>
                <w:sz w:val="28"/>
              </w:rPr>
              <w:sym w:font="Wingdings" w:char="00A8"/>
            </w:r>
            <w:r>
              <w:rPr>
                <w:rFonts w:hint="eastAsia" w:ascii="仿宋_GB2312" w:hAnsi="仿宋_GB2312"/>
                <w:kern w:val="32"/>
                <w:sz w:val="28"/>
              </w:rPr>
              <w:t xml:space="preserve">理响中国  </w:t>
            </w:r>
            <w:r>
              <w:rPr>
                <w:rFonts w:hint="eastAsia" w:ascii="仿宋_GB2312" w:hAnsi="仿宋_GB2312"/>
                <w:kern w:val="32"/>
                <w:sz w:val="28"/>
              </w:rPr>
              <w:sym w:font="Wingdings" w:char="00A8"/>
            </w:r>
            <w:r>
              <w:rPr>
                <w:rFonts w:hint="eastAsia" w:ascii="仿宋_GB2312" w:hAnsi="仿宋_GB2312"/>
                <w:kern w:val="32"/>
                <w:sz w:val="28"/>
              </w:rPr>
              <w:t xml:space="preserve">兴农助民  </w:t>
            </w:r>
          </w:p>
          <w:p w14:paraId="1CBD0E62">
            <w:pPr>
              <w:adjustRightInd w:val="0"/>
              <w:snapToGrid w:val="0"/>
              <w:spacing w:line="240" w:lineRule="auto"/>
              <w:jc w:val="center"/>
              <w:rPr>
                <w:rFonts w:hint="eastAsia" w:ascii="仿宋_GB2312" w:hAnsi="仿宋_GB2312"/>
                <w:kern w:val="32"/>
                <w:sz w:val="28"/>
              </w:rPr>
            </w:pPr>
            <w:r>
              <w:rPr>
                <w:rFonts w:hint="eastAsia" w:ascii="仿宋_GB2312" w:hAnsi="仿宋_GB2312"/>
                <w:kern w:val="32"/>
                <w:sz w:val="28"/>
              </w:rPr>
              <w:sym w:font="Wingdings" w:char="00A8"/>
            </w:r>
            <w:r>
              <w:rPr>
                <w:rFonts w:hint="eastAsia" w:ascii="仿宋_GB2312" w:hAnsi="仿宋_GB2312"/>
                <w:kern w:val="32"/>
                <w:sz w:val="28"/>
              </w:rPr>
              <w:t xml:space="preserve">文脉赓续  </w:t>
            </w:r>
            <w:r>
              <w:rPr>
                <w:rFonts w:hint="eastAsia" w:ascii="仿宋_GB2312" w:hAnsi="仿宋_GB2312"/>
                <w:kern w:val="32"/>
                <w:sz w:val="28"/>
              </w:rPr>
              <w:sym w:font="Wingdings" w:char="00A8"/>
            </w:r>
            <w:r>
              <w:rPr>
                <w:rFonts w:hint="eastAsia" w:ascii="仿宋_GB2312" w:hAnsi="仿宋_GB2312"/>
                <w:kern w:val="32"/>
                <w:sz w:val="28"/>
              </w:rPr>
              <w:t xml:space="preserve">智创未来  </w:t>
            </w:r>
            <w:r>
              <w:rPr>
                <w:rFonts w:hint="eastAsia" w:ascii="仿宋_GB2312" w:hAnsi="仿宋_GB2312"/>
                <w:kern w:val="32"/>
                <w:sz w:val="28"/>
              </w:rPr>
              <w:sym w:font="Wingdings" w:char="00FE"/>
            </w:r>
            <w:r>
              <w:rPr>
                <w:rFonts w:hint="eastAsia" w:ascii="仿宋_GB2312" w:hAnsi="仿宋_GB2312"/>
                <w:kern w:val="32"/>
                <w:sz w:val="28"/>
              </w:rPr>
              <w:t xml:space="preserve">绿水青山  </w:t>
            </w:r>
            <w:r>
              <w:rPr>
                <w:rFonts w:hint="eastAsia" w:ascii="仿宋_GB2312" w:hAnsi="仿宋_GB2312"/>
                <w:kern w:val="32"/>
                <w:sz w:val="28"/>
              </w:rPr>
              <w:sym w:font="Wingdings" w:char="00A8"/>
            </w:r>
            <w:r>
              <w:rPr>
                <w:rFonts w:hint="eastAsia" w:ascii="仿宋_GB2312" w:hAnsi="仿宋_GB2312"/>
                <w:kern w:val="32"/>
                <w:sz w:val="28"/>
              </w:rPr>
              <w:t xml:space="preserve">俭以养德 </w:t>
            </w:r>
          </w:p>
        </w:tc>
      </w:tr>
      <w:tr w14:paraId="7290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70" w:type="dxa"/>
            <w:vAlign w:val="center"/>
          </w:tcPr>
          <w:p w14:paraId="1CED69BF">
            <w:pPr>
              <w:adjustRightInd w:val="0"/>
              <w:snapToGrid w:val="0"/>
              <w:spacing w:line="240" w:lineRule="auto"/>
              <w:jc w:val="center"/>
              <w:rPr>
                <w:rFonts w:hint="eastAsia" w:ascii="黑体" w:hAnsi="黑体" w:eastAsia="黑体" w:cs="黑体"/>
                <w:kern w:val="32"/>
                <w:sz w:val="28"/>
              </w:rPr>
            </w:pPr>
            <w:r>
              <w:rPr>
                <w:rFonts w:hint="eastAsia" w:ascii="黑体" w:hAnsi="黑体" w:eastAsia="黑体" w:cs="黑体"/>
                <w:kern w:val="32"/>
                <w:sz w:val="28"/>
              </w:rPr>
              <w:t>案例名称</w:t>
            </w:r>
          </w:p>
        </w:tc>
        <w:tc>
          <w:tcPr>
            <w:tcW w:w="7039" w:type="dxa"/>
            <w:gridSpan w:val="5"/>
            <w:vAlign w:val="center"/>
          </w:tcPr>
          <w:p w14:paraId="5AFE8DBD">
            <w:pPr>
              <w:adjustRightInd w:val="0"/>
              <w:snapToGrid w:val="0"/>
              <w:spacing w:line="240" w:lineRule="auto"/>
              <w:jc w:val="center"/>
              <w:rPr>
                <w:rFonts w:hint="eastAsia" w:ascii="仿宋_GB2312" w:hAnsi="仿宋_GB2312"/>
                <w:kern w:val="32"/>
                <w:sz w:val="28"/>
              </w:rPr>
            </w:pPr>
            <w:r>
              <w:rPr>
                <w:rFonts w:hint="eastAsia" w:ascii="仿宋_GB2312" w:hAnsi="仿宋_GB2312"/>
                <w:kern w:val="32"/>
                <w:sz w:val="28"/>
              </w:rPr>
              <w:t>禹护闽北，碧水生金</w:t>
            </w:r>
          </w:p>
        </w:tc>
      </w:tr>
      <w:tr w14:paraId="4CAE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70" w:type="dxa"/>
            <w:vAlign w:val="center"/>
          </w:tcPr>
          <w:p w14:paraId="2D529A78">
            <w:pPr>
              <w:adjustRightInd w:val="0"/>
              <w:snapToGrid w:val="0"/>
              <w:spacing w:line="240" w:lineRule="auto"/>
              <w:jc w:val="center"/>
              <w:rPr>
                <w:rFonts w:hint="eastAsia" w:ascii="黑体" w:hAnsi="黑体" w:eastAsia="黑体" w:cs="黑体"/>
                <w:kern w:val="32"/>
                <w:sz w:val="28"/>
              </w:rPr>
            </w:pPr>
            <w:r>
              <w:rPr>
                <w:rFonts w:hint="eastAsia" w:ascii="黑体" w:hAnsi="黑体" w:eastAsia="黑体" w:cs="黑体"/>
                <w:kern w:val="32"/>
                <w:sz w:val="28"/>
              </w:rPr>
              <w:t>案例负责人</w:t>
            </w:r>
          </w:p>
        </w:tc>
        <w:tc>
          <w:tcPr>
            <w:tcW w:w="1473" w:type="dxa"/>
            <w:vAlign w:val="center"/>
          </w:tcPr>
          <w:p w14:paraId="54FCB633">
            <w:pPr>
              <w:adjustRightInd w:val="0"/>
              <w:snapToGrid w:val="0"/>
              <w:spacing w:line="240" w:lineRule="auto"/>
              <w:jc w:val="center"/>
              <w:rPr>
                <w:rFonts w:hint="eastAsia" w:ascii="仿宋_GB2312" w:hAnsi="仿宋_GB2312"/>
                <w:kern w:val="32"/>
                <w:sz w:val="28"/>
              </w:rPr>
            </w:pPr>
            <w:r>
              <w:rPr>
                <w:rFonts w:hint="eastAsia" w:ascii="仿宋_GB2312" w:hAnsi="仿宋_GB2312"/>
                <w:kern w:val="32"/>
                <w:sz w:val="28"/>
              </w:rPr>
              <w:t>陈钻泽</w:t>
            </w:r>
          </w:p>
        </w:tc>
        <w:tc>
          <w:tcPr>
            <w:tcW w:w="1000" w:type="dxa"/>
            <w:vAlign w:val="center"/>
          </w:tcPr>
          <w:p w14:paraId="7DE69CBD">
            <w:pPr>
              <w:adjustRightInd w:val="0"/>
              <w:snapToGrid w:val="0"/>
              <w:spacing w:line="240" w:lineRule="auto"/>
              <w:jc w:val="center"/>
              <w:rPr>
                <w:rFonts w:hint="eastAsia" w:ascii="黑体" w:hAnsi="黑体" w:eastAsia="黑体" w:cs="黑体"/>
                <w:kern w:val="32"/>
                <w:sz w:val="28"/>
              </w:rPr>
            </w:pPr>
            <w:r>
              <w:rPr>
                <w:rFonts w:hint="eastAsia" w:ascii="黑体" w:hAnsi="黑体" w:eastAsia="黑体" w:cs="黑体"/>
                <w:kern w:val="32"/>
                <w:sz w:val="28"/>
              </w:rPr>
              <w:t>年级</w:t>
            </w:r>
          </w:p>
        </w:tc>
        <w:tc>
          <w:tcPr>
            <w:tcW w:w="1567" w:type="dxa"/>
            <w:vAlign w:val="center"/>
          </w:tcPr>
          <w:p w14:paraId="1317F32D">
            <w:pPr>
              <w:adjustRightInd w:val="0"/>
              <w:snapToGrid w:val="0"/>
              <w:spacing w:line="240" w:lineRule="auto"/>
              <w:jc w:val="center"/>
              <w:rPr>
                <w:rFonts w:hint="eastAsia" w:ascii="仿宋_GB2312" w:hAnsi="仿宋_GB2312"/>
                <w:kern w:val="32"/>
                <w:sz w:val="28"/>
              </w:rPr>
            </w:pPr>
            <w:r>
              <w:rPr>
                <w:rFonts w:hint="eastAsia" w:ascii="仿宋_GB2312" w:hAnsi="仿宋_GB2312"/>
                <w:kern w:val="32"/>
                <w:sz w:val="28"/>
              </w:rPr>
              <w:t>2024级</w:t>
            </w:r>
          </w:p>
        </w:tc>
        <w:tc>
          <w:tcPr>
            <w:tcW w:w="1400" w:type="dxa"/>
            <w:vAlign w:val="center"/>
          </w:tcPr>
          <w:p w14:paraId="18D8CA36">
            <w:pPr>
              <w:adjustRightInd w:val="0"/>
              <w:snapToGrid w:val="0"/>
              <w:spacing w:line="240" w:lineRule="auto"/>
              <w:jc w:val="center"/>
              <w:rPr>
                <w:rFonts w:hint="eastAsia" w:ascii="黑体" w:hAnsi="黑体" w:eastAsia="黑体" w:cs="黑体"/>
                <w:kern w:val="32"/>
                <w:sz w:val="28"/>
              </w:rPr>
            </w:pPr>
            <w:r>
              <w:rPr>
                <w:rFonts w:hint="eastAsia" w:ascii="黑体" w:hAnsi="黑体" w:eastAsia="黑体" w:cs="黑体"/>
                <w:kern w:val="32"/>
                <w:sz w:val="28"/>
              </w:rPr>
              <w:t>联系电话</w:t>
            </w:r>
          </w:p>
        </w:tc>
        <w:tc>
          <w:tcPr>
            <w:tcW w:w="1599" w:type="dxa"/>
            <w:vAlign w:val="center"/>
          </w:tcPr>
          <w:p w14:paraId="4FD22A52">
            <w:pPr>
              <w:adjustRightInd w:val="0"/>
              <w:snapToGrid w:val="0"/>
              <w:spacing w:line="240" w:lineRule="auto"/>
              <w:jc w:val="center"/>
              <w:rPr>
                <w:rFonts w:hint="eastAsia" w:ascii="仿宋_GB2312" w:hAnsi="仿宋_GB2312"/>
                <w:kern w:val="32"/>
                <w:sz w:val="28"/>
              </w:rPr>
            </w:pPr>
            <w:r>
              <w:rPr>
                <w:rFonts w:hint="eastAsia" w:ascii="仿宋_GB2312" w:hAnsi="仿宋_GB2312"/>
                <w:kern w:val="32"/>
                <w:sz w:val="28"/>
              </w:rPr>
              <w:t>19739096978</w:t>
            </w:r>
          </w:p>
        </w:tc>
      </w:tr>
      <w:tr w14:paraId="0730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0" w:type="dxa"/>
            <w:vAlign w:val="center"/>
          </w:tcPr>
          <w:p w14:paraId="59DF5EC3">
            <w:pPr>
              <w:adjustRightInd w:val="0"/>
              <w:snapToGrid w:val="0"/>
              <w:spacing w:line="240" w:lineRule="auto"/>
              <w:jc w:val="center"/>
              <w:rPr>
                <w:rFonts w:hint="eastAsia" w:ascii="黑体" w:hAnsi="黑体" w:eastAsia="黑体" w:cs="黑体"/>
                <w:kern w:val="32"/>
                <w:sz w:val="28"/>
              </w:rPr>
            </w:pPr>
            <w:r>
              <w:rPr>
                <w:rFonts w:hint="eastAsia" w:ascii="黑体" w:hAnsi="黑体" w:eastAsia="黑体" w:cs="黑体"/>
                <w:kern w:val="32"/>
                <w:sz w:val="28"/>
              </w:rPr>
              <w:t>指导教师</w:t>
            </w:r>
          </w:p>
        </w:tc>
        <w:tc>
          <w:tcPr>
            <w:tcW w:w="1473" w:type="dxa"/>
            <w:vAlign w:val="center"/>
          </w:tcPr>
          <w:p w14:paraId="69434590">
            <w:pPr>
              <w:adjustRightInd w:val="0"/>
              <w:snapToGrid w:val="0"/>
              <w:spacing w:line="240" w:lineRule="auto"/>
              <w:jc w:val="center"/>
              <w:rPr>
                <w:rFonts w:hint="eastAsia" w:ascii="仿宋_GB2312" w:hAnsi="仿宋_GB2312"/>
                <w:kern w:val="32"/>
                <w:sz w:val="28"/>
              </w:rPr>
            </w:pPr>
            <w:r>
              <w:rPr>
                <w:rFonts w:hint="eastAsia" w:ascii="仿宋_GB2312" w:hAnsi="仿宋_GB2312"/>
                <w:kern w:val="32"/>
                <w:sz w:val="28"/>
              </w:rPr>
              <w:t>邓秀春</w:t>
            </w:r>
          </w:p>
        </w:tc>
        <w:tc>
          <w:tcPr>
            <w:tcW w:w="1000" w:type="dxa"/>
            <w:vAlign w:val="center"/>
          </w:tcPr>
          <w:p w14:paraId="54D0A6A3">
            <w:pPr>
              <w:adjustRightInd w:val="0"/>
              <w:snapToGrid w:val="0"/>
              <w:spacing w:line="240" w:lineRule="auto"/>
              <w:jc w:val="center"/>
              <w:rPr>
                <w:rFonts w:hint="eastAsia" w:ascii="黑体" w:hAnsi="黑体" w:eastAsia="黑体" w:cs="黑体"/>
                <w:kern w:val="32"/>
                <w:sz w:val="28"/>
              </w:rPr>
            </w:pPr>
            <w:r>
              <w:rPr>
                <w:rFonts w:hint="eastAsia" w:ascii="黑体" w:hAnsi="黑体" w:eastAsia="黑体" w:cs="黑体"/>
                <w:kern w:val="32"/>
                <w:sz w:val="28"/>
              </w:rPr>
              <w:t>职务/职称</w:t>
            </w:r>
          </w:p>
        </w:tc>
        <w:tc>
          <w:tcPr>
            <w:tcW w:w="1567" w:type="dxa"/>
            <w:vAlign w:val="center"/>
          </w:tcPr>
          <w:p w14:paraId="373CB108">
            <w:pPr>
              <w:adjustRightInd w:val="0"/>
              <w:snapToGrid w:val="0"/>
              <w:spacing w:line="240" w:lineRule="auto"/>
              <w:jc w:val="center"/>
              <w:rPr>
                <w:rFonts w:ascii="仿宋_GB2312" w:hAnsi="仿宋_GB2312"/>
                <w:kern w:val="32"/>
                <w:sz w:val="28"/>
              </w:rPr>
            </w:pPr>
            <w:r>
              <w:rPr>
                <w:rFonts w:hint="eastAsia" w:ascii="仿宋_GB2312" w:hAnsi="仿宋_GB2312"/>
                <w:kern w:val="32"/>
                <w:sz w:val="28"/>
              </w:rPr>
              <w:t>辅导员/</w:t>
            </w:r>
          </w:p>
          <w:p w14:paraId="6395A8AF">
            <w:pPr>
              <w:adjustRightInd w:val="0"/>
              <w:snapToGrid w:val="0"/>
              <w:spacing w:line="240" w:lineRule="auto"/>
              <w:jc w:val="center"/>
              <w:rPr>
                <w:rFonts w:hint="eastAsia" w:ascii="仿宋_GB2312" w:hAnsi="仿宋_GB2312"/>
                <w:kern w:val="32"/>
                <w:sz w:val="28"/>
              </w:rPr>
            </w:pPr>
            <w:r>
              <w:rPr>
                <w:rFonts w:hint="eastAsia" w:ascii="仿宋_GB2312" w:hAnsi="仿宋_GB2312"/>
                <w:kern w:val="32"/>
                <w:sz w:val="28"/>
              </w:rPr>
              <w:t>讲师</w:t>
            </w:r>
          </w:p>
        </w:tc>
        <w:tc>
          <w:tcPr>
            <w:tcW w:w="1400" w:type="dxa"/>
            <w:vAlign w:val="center"/>
          </w:tcPr>
          <w:p w14:paraId="7F7529DF">
            <w:pPr>
              <w:adjustRightInd w:val="0"/>
              <w:snapToGrid w:val="0"/>
              <w:spacing w:line="240" w:lineRule="auto"/>
              <w:jc w:val="center"/>
              <w:rPr>
                <w:rFonts w:hint="eastAsia" w:ascii="黑体" w:hAnsi="黑体" w:eastAsia="黑体" w:cs="黑体"/>
                <w:kern w:val="32"/>
                <w:sz w:val="28"/>
              </w:rPr>
            </w:pPr>
            <w:r>
              <w:rPr>
                <w:rFonts w:hint="eastAsia" w:ascii="黑体" w:hAnsi="黑体" w:eastAsia="黑体" w:cs="黑体"/>
                <w:kern w:val="32"/>
                <w:sz w:val="28"/>
              </w:rPr>
              <w:t>联系电话</w:t>
            </w:r>
          </w:p>
        </w:tc>
        <w:tc>
          <w:tcPr>
            <w:tcW w:w="1599" w:type="dxa"/>
            <w:vAlign w:val="center"/>
          </w:tcPr>
          <w:p w14:paraId="4CD44A38">
            <w:pPr>
              <w:adjustRightInd w:val="0"/>
              <w:snapToGrid w:val="0"/>
              <w:spacing w:line="240" w:lineRule="auto"/>
              <w:jc w:val="center"/>
              <w:rPr>
                <w:rFonts w:hint="eastAsia" w:ascii="仿宋_GB2312" w:hAnsi="仿宋_GB2312"/>
                <w:kern w:val="32"/>
                <w:sz w:val="28"/>
              </w:rPr>
            </w:pPr>
            <w:r>
              <w:rPr>
                <w:rFonts w:hint="eastAsia" w:ascii="仿宋_GB2312" w:hAnsi="仿宋_GB2312"/>
                <w:kern w:val="32"/>
                <w:sz w:val="28"/>
              </w:rPr>
              <w:t>19005993898</w:t>
            </w:r>
          </w:p>
        </w:tc>
      </w:tr>
      <w:tr w14:paraId="4CC0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709" w:type="dxa"/>
            <w:gridSpan w:val="6"/>
            <w:vAlign w:val="center"/>
          </w:tcPr>
          <w:p w14:paraId="5DCAEBAC">
            <w:pPr>
              <w:adjustRightInd w:val="0"/>
              <w:snapToGrid w:val="0"/>
              <w:spacing w:line="240" w:lineRule="auto"/>
              <w:jc w:val="center"/>
              <w:rPr>
                <w:rFonts w:hint="eastAsia" w:ascii="黑体" w:hAnsi="黑体" w:eastAsia="黑体" w:cs="黑体"/>
                <w:kern w:val="32"/>
                <w:sz w:val="28"/>
              </w:rPr>
            </w:pPr>
            <w:r>
              <w:rPr>
                <w:rFonts w:hint="eastAsia" w:ascii="黑体" w:hAnsi="黑体" w:eastAsia="黑体" w:cs="黑体"/>
                <w:kern w:val="32"/>
                <w:sz w:val="28"/>
              </w:rPr>
              <w:t>案例概述及亮点成效</w:t>
            </w:r>
            <w:r>
              <w:rPr>
                <w:rFonts w:cs="Times New Roman"/>
                <w:kern w:val="32"/>
                <w:sz w:val="28"/>
              </w:rPr>
              <w:t>（1000字以内）</w:t>
            </w:r>
          </w:p>
        </w:tc>
      </w:tr>
      <w:tr w14:paraId="3532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8" w:hRule="atLeast"/>
          <w:jc w:val="center"/>
        </w:trPr>
        <w:tc>
          <w:tcPr>
            <w:tcW w:w="8709" w:type="dxa"/>
            <w:gridSpan w:val="6"/>
          </w:tcPr>
          <w:p w14:paraId="0158EF4A">
            <w:pPr>
              <w:keepNext w:val="0"/>
              <w:keepLines w:val="0"/>
              <w:pageBreakBefore w:val="0"/>
              <w:widowControl w:val="0"/>
              <w:kinsoku/>
              <w:wordWrap/>
              <w:overflowPunct/>
              <w:topLinePunct w:val="0"/>
              <w:autoSpaceDE/>
              <w:autoSpaceDN/>
              <w:bidi w:val="0"/>
              <w:adjustRightInd/>
              <w:snapToGrid/>
              <w:spacing w:before="227" w:beforeLines="50" w:after="227" w:afterLines="50" w:line="240" w:lineRule="auto"/>
              <w:ind w:firstLine="640" w:firstLineChars="200"/>
              <w:jc w:val="left"/>
              <w:textAlignment w:val="auto"/>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一、案例背景与主题</w:t>
            </w:r>
          </w:p>
          <w:p w14:paraId="703BCC47">
            <w:pPr>
              <w:widowControl/>
              <w:spacing w:line="240" w:lineRule="auto"/>
              <w:ind w:firstLine="560" w:firstLineChars="200"/>
              <w:jc w:val="left"/>
              <w:rPr>
                <w:rFonts w:cs="Times New Roman"/>
                <w:sz w:val="28"/>
                <w:shd w:val="clear" w:color="auto" w:fill="FFFFFF"/>
              </w:rPr>
            </w:pPr>
            <w:r>
              <w:rPr>
                <w:rFonts w:hint="eastAsia" w:cs="Times New Roman"/>
                <w:sz w:val="28"/>
                <w:shd w:val="clear" w:color="auto" w:fill="FFFFFF"/>
              </w:rPr>
              <w:t>为深入贯彻学习习近平生态文明思想，践行“绿水青山就是金山银山”的发展理念。武夷学院“河小禹”实践队积极响应全国全省关于河流保护与志愿服务的号召，主动将小我融入大我，充分发挥专业优势与区域优势，连续10年开展“河小禹”专项活动，累计参与学生超400余人，足迹遍布闽北大地，有效促进思政课堂与理论课堂、实践课堂的有机融合。</w:t>
            </w:r>
          </w:p>
          <w:p w14:paraId="70CFA0F3">
            <w:pPr>
              <w:widowControl/>
              <w:spacing w:line="240" w:lineRule="auto"/>
              <w:ind w:firstLine="560" w:firstLineChars="200"/>
              <w:jc w:val="left"/>
              <w:rPr>
                <w:rFonts w:hint="eastAsia" w:cs="Times New Roman"/>
                <w:sz w:val="28"/>
                <w:shd w:val="clear" w:color="auto" w:fill="FFFFFF"/>
              </w:rPr>
            </w:pPr>
            <w:r>
              <w:rPr>
                <w:rFonts w:hint="eastAsia" w:cs="Times New Roman"/>
                <w:sz w:val="28"/>
                <w:shd w:val="clear" w:color="auto" w:fill="FFFFFF"/>
              </w:rPr>
              <w:t>近年来，武夷学院“河小禹”实践队深入挖掘“河小禹”活动的价值内涵，聚焦生态赋能、绿色发展领域，以“禹护闽北，碧水生金”为主题，在闽北大地开展各类实践调研。旨在通过带领青年切身感受河流保护、流域综合治理带来的生态蝶变与经济增量，形成“越保护、越收益”的环保共识，强化对生态文明建设与绿色高质量发展的理解。团队鼓励青年积极投身河流保护，把论文写在祖国江河上，把青春力量嵌入“保护—治理—转化—收益”的河湖治理闭环中，也为各地高校参与幸福河湖建设、服务水生态产品价值转化提供有益借鉴，为国家“十五五”规划开好局、起好步贡献青春力量。</w:t>
            </w:r>
          </w:p>
          <w:p w14:paraId="1F1E4854">
            <w:pPr>
              <w:keepNext w:val="0"/>
              <w:keepLines w:val="0"/>
              <w:pageBreakBefore w:val="0"/>
              <w:widowControl w:val="0"/>
              <w:kinsoku/>
              <w:wordWrap/>
              <w:overflowPunct/>
              <w:topLinePunct w:val="0"/>
              <w:autoSpaceDE/>
              <w:autoSpaceDN/>
              <w:bidi w:val="0"/>
              <w:adjustRightInd/>
              <w:snapToGrid/>
              <w:spacing w:before="227" w:beforeLines="50" w:after="227" w:afterLines="50" w:line="240" w:lineRule="auto"/>
              <w:ind w:firstLine="640" w:firstLineChars="200"/>
              <w:jc w:val="left"/>
              <w:textAlignment w:val="auto"/>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二、主要做法</w:t>
            </w:r>
          </w:p>
          <w:p w14:paraId="67C97EF4">
            <w:pPr>
              <w:wordWrap w:val="0"/>
              <w:spacing w:line="240" w:lineRule="auto"/>
              <w:ind w:firstLine="562" w:firstLineChars="200"/>
              <w:jc w:val="left"/>
              <w:rPr>
                <w:rFonts w:cs="Times New Roman"/>
                <w:sz w:val="28"/>
                <w:shd w:val="clear" w:color="auto" w:fill="FFFFFF"/>
              </w:rPr>
            </w:pPr>
            <w:r>
              <w:rPr>
                <w:rFonts w:hint="eastAsia" w:cs="Times New Roman"/>
                <w:b/>
                <w:bCs/>
                <w:sz w:val="28"/>
                <w:shd w:val="clear" w:color="auto" w:fill="FFFFFF"/>
              </w:rPr>
              <w:t>1.生态摸底</w:t>
            </w:r>
            <w:r>
              <w:rPr>
                <w:rFonts w:hint="eastAsia" w:cs="Times New Roman"/>
                <w:sz w:val="28"/>
                <w:shd w:val="clear" w:color="auto" w:fill="FFFFFF"/>
              </w:rPr>
              <w:t>。团队通过学生“返家乡”契机，对福建省南平市下辖10个县市区的19项水美建设片区，开展流域综合治理与河流保护的生态摸底。以武夷山为起点，选取西溪公园、游龙公园、滨水茶足径等典型区域，探索“水质—滨水设施—人居环境—文旅业态”四维观测体系，全域踏勘记录流域改造前后的生态增量与经济增量。</w:t>
            </w:r>
          </w:p>
          <w:p w14:paraId="38183893">
            <w:pPr>
              <w:wordWrap w:val="0"/>
              <w:spacing w:line="240" w:lineRule="auto"/>
              <w:ind w:firstLine="562" w:firstLineChars="200"/>
              <w:jc w:val="left"/>
              <w:rPr>
                <w:rFonts w:cs="Times New Roman"/>
                <w:sz w:val="28"/>
                <w:shd w:val="clear" w:color="auto" w:fill="FFFFFF"/>
              </w:rPr>
            </w:pPr>
            <w:r>
              <w:rPr>
                <w:rFonts w:hint="eastAsia" w:cs="Times New Roman"/>
                <w:b/>
                <w:bCs/>
                <w:sz w:val="28"/>
                <w:shd w:val="clear" w:color="auto" w:fill="FFFFFF"/>
              </w:rPr>
              <w:t>2.巡河护河。</w:t>
            </w:r>
            <w:r>
              <w:rPr>
                <w:rFonts w:hint="eastAsia" w:cs="Times New Roman"/>
                <w:sz w:val="28"/>
                <w:shd w:val="clear" w:color="auto" w:fill="FFFFFF"/>
              </w:rPr>
              <w:t>开展分段巡河净滩行动与水质生态监测；创新推出“垃圾兑换小礼品”互动模式，吸引市民游客参与河流保护。</w:t>
            </w:r>
          </w:p>
          <w:p w14:paraId="143F2264">
            <w:pPr>
              <w:wordWrap w:val="0"/>
              <w:spacing w:line="240" w:lineRule="auto"/>
              <w:ind w:firstLine="562" w:firstLineChars="200"/>
              <w:jc w:val="left"/>
              <w:rPr>
                <w:rFonts w:cs="Times New Roman"/>
                <w:sz w:val="28"/>
                <w:shd w:val="clear" w:color="auto" w:fill="FFFFFF"/>
              </w:rPr>
            </w:pPr>
            <w:r>
              <w:rPr>
                <w:rFonts w:hint="eastAsia" w:cs="Times New Roman"/>
                <w:b/>
                <w:bCs/>
                <w:sz w:val="28"/>
                <w:shd w:val="clear" w:color="auto" w:fill="FFFFFF"/>
              </w:rPr>
              <w:t>3.生态宣讲。</w:t>
            </w:r>
            <w:r>
              <w:rPr>
                <w:rFonts w:hint="eastAsia" w:cs="Times New Roman"/>
                <w:sz w:val="28"/>
                <w:shd w:val="clear" w:color="auto" w:fill="FFFFFF"/>
              </w:rPr>
              <w:t>设立固定宣讲点位，面向市民游客普及河湖长制、巡河交水制、幸福河湖以及水美经济理念。</w:t>
            </w:r>
          </w:p>
          <w:p w14:paraId="551718A4">
            <w:pPr>
              <w:wordWrap w:val="0"/>
              <w:spacing w:line="240" w:lineRule="auto"/>
              <w:ind w:firstLine="562" w:firstLineChars="200"/>
              <w:jc w:val="left"/>
              <w:rPr>
                <w:rFonts w:cs="Times New Roman"/>
                <w:sz w:val="28"/>
                <w:shd w:val="clear" w:color="auto" w:fill="FFFFFF"/>
              </w:rPr>
            </w:pPr>
            <w:r>
              <w:rPr>
                <w:rFonts w:hint="eastAsia" w:cs="Times New Roman"/>
                <w:b/>
                <w:bCs/>
                <w:sz w:val="28"/>
                <w:shd w:val="clear" w:color="auto" w:fill="FFFFFF"/>
              </w:rPr>
              <w:t>4.走访调研。</w:t>
            </w:r>
            <w:r>
              <w:rPr>
                <w:rFonts w:hint="eastAsia" w:cs="Times New Roman"/>
                <w:sz w:val="28"/>
                <w:shd w:val="clear" w:color="auto" w:fill="FFFFFF"/>
              </w:rPr>
              <w:t>累计发放问卷320份，回收有效问卷281份，有效回收率88%；对居民、游客、沿岸商户三类群体开展半结构化深度访谈，多视角挖掘流域治理成效与发展痛点。</w:t>
            </w:r>
          </w:p>
          <w:p w14:paraId="72191BE6">
            <w:pPr>
              <w:wordWrap w:val="0"/>
              <w:spacing w:line="240" w:lineRule="auto"/>
              <w:ind w:firstLine="562" w:firstLineChars="200"/>
              <w:jc w:val="left"/>
              <w:rPr>
                <w:rFonts w:cs="Times New Roman"/>
                <w:sz w:val="28"/>
                <w:shd w:val="clear" w:color="auto" w:fill="FFFFFF"/>
              </w:rPr>
            </w:pPr>
            <w:r>
              <w:rPr>
                <w:rFonts w:hint="eastAsia" w:cs="Times New Roman"/>
                <w:b/>
                <w:bCs/>
                <w:sz w:val="28"/>
                <w:shd w:val="clear" w:color="auto" w:fill="FFFFFF"/>
              </w:rPr>
              <w:t>5.联动赋能。</w:t>
            </w:r>
            <w:r>
              <w:rPr>
                <w:rFonts w:hint="eastAsia" w:cs="Times New Roman"/>
                <w:sz w:val="28"/>
                <w:shd w:val="clear" w:color="auto" w:fill="FFFFFF"/>
              </w:rPr>
              <w:t>与武夷山市河长办开展座谈建言，与南平市环保志愿者协会、武夷山市检察院搭建长期合作关系；开设抖音宣传账号、创作主题歌曲、制作“小禹”环保微课、设计文创产品，以青年创新表达提升宣传实效。</w:t>
            </w:r>
          </w:p>
          <w:p w14:paraId="48503BF8">
            <w:pPr>
              <w:wordWrap w:val="0"/>
              <w:spacing w:line="240" w:lineRule="auto"/>
              <w:ind w:firstLine="562" w:firstLineChars="200"/>
              <w:jc w:val="left"/>
              <w:rPr>
                <w:rFonts w:cs="Times New Roman"/>
                <w:sz w:val="28"/>
                <w:shd w:val="clear" w:color="auto" w:fill="FFFFFF"/>
              </w:rPr>
            </w:pPr>
            <w:r>
              <w:rPr>
                <w:rFonts w:hint="eastAsia" w:cs="Times New Roman"/>
                <w:b/>
                <w:bCs/>
                <w:sz w:val="28"/>
                <w:shd w:val="clear" w:color="auto" w:fill="FFFFFF"/>
              </w:rPr>
              <w:t>6.反哺校园。</w:t>
            </w:r>
            <w:r>
              <w:rPr>
                <w:rFonts w:hint="eastAsia" w:cs="Times New Roman"/>
                <w:sz w:val="28"/>
                <w:shd w:val="clear" w:color="auto" w:fill="FFFFFF"/>
              </w:rPr>
              <w:t>将实践经历形成综合报告，梳理典型，在校园内开展环保讲座，提升同学对流域综合治理的认知和环保意识。</w:t>
            </w:r>
          </w:p>
          <w:p w14:paraId="491964D9">
            <w:pPr>
              <w:keepNext w:val="0"/>
              <w:keepLines w:val="0"/>
              <w:pageBreakBefore w:val="0"/>
              <w:widowControl w:val="0"/>
              <w:kinsoku/>
              <w:wordWrap/>
              <w:overflowPunct/>
              <w:topLinePunct w:val="0"/>
              <w:autoSpaceDE/>
              <w:autoSpaceDN/>
              <w:bidi w:val="0"/>
              <w:adjustRightInd/>
              <w:snapToGrid/>
              <w:spacing w:before="227" w:beforeLines="50" w:after="227" w:afterLines="50" w:line="240" w:lineRule="auto"/>
              <w:ind w:firstLine="640" w:firstLineChars="200"/>
              <w:jc w:val="left"/>
              <w:textAlignment w:val="auto"/>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三、亮点成效</w:t>
            </w:r>
          </w:p>
          <w:p w14:paraId="5C120C37">
            <w:pPr>
              <w:wordWrap w:val="0"/>
              <w:spacing w:line="240" w:lineRule="auto"/>
              <w:ind w:firstLine="560" w:firstLineChars="200"/>
              <w:jc w:val="left"/>
              <w:rPr>
                <w:rFonts w:cs="Times New Roman"/>
                <w:sz w:val="28"/>
                <w:shd w:val="clear" w:color="auto" w:fill="FFFFFF"/>
              </w:rPr>
            </w:pPr>
            <w:r>
              <w:rPr>
                <w:rFonts w:hint="eastAsia" w:cs="Times New Roman"/>
                <w:sz w:val="28"/>
                <w:shd w:val="clear" w:color="auto" w:fill="FFFFFF"/>
              </w:rPr>
              <w:t>1.自2017年成立以来，武夷学院“河小禹”实践队依托国家水土保持科技示范园、南平市河湖研究院等校内平台，联合武夷山市人民法院、南平市环境保护教育促进会、武夷山市愉悦社会工作服务中心及地方社区，持续开展生态守护与科普宣传志愿服务。团队结合“世界水周”、“世界环境日”开展各类实践活动超80余次，各类环保宣讲20余次，累计参与学生志愿者1200余人，足迹遍布闽北大地。学生发挥专业优势，累计发表相关学术论文12篇、授权专利10项，助力河流保护与生态产品价值实现。</w:t>
            </w:r>
          </w:p>
          <w:p w14:paraId="3B6B7817">
            <w:pPr>
              <w:wordWrap w:val="0"/>
              <w:spacing w:line="240" w:lineRule="auto"/>
              <w:ind w:firstLine="560" w:firstLineChars="200"/>
              <w:jc w:val="left"/>
              <w:rPr>
                <w:rFonts w:cs="Times New Roman"/>
                <w:sz w:val="28"/>
                <w:shd w:val="clear" w:color="auto" w:fill="FFFFFF"/>
              </w:rPr>
            </w:pPr>
            <w:r>
              <w:rPr>
                <w:rFonts w:hint="eastAsia" w:cs="Times New Roman"/>
                <w:sz w:val="28"/>
                <w:shd w:val="clear" w:color="auto" w:fill="FFFFFF"/>
              </w:rPr>
              <w:t>2.团队聚焦“禹护闽北，碧水生金”主题，以武夷山为示范实践点，面向闽北19项水美建设片区，开展巡河净滩、问卷访谈、生态宣讲和多模态传播，逐步探索出“专业监测+志愿护水+资政调研+数字宣教”的可复制模式，并开设抖音宣传号、创作主题歌曲“八闽幸福河湖”、制作“小禹”环保微课以及文创产品。</w:t>
            </w:r>
          </w:p>
          <w:p w14:paraId="6A0850D6">
            <w:pPr>
              <w:wordWrap w:val="0"/>
              <w:spacing w:line="240" w:lineRule="auto"/>
              <w:ind w:firstLine="560" w:firstLineChars="200"/>
              <w:jc w:val="left"/>
              <w:rPr>
                <w:rFonts w:cs="Times New Roman"/>
                <w:sz w:val="28"/>
                <w:shd w:val="clear" w:color="auto" w:fill="FFFFFF"/>
              </w:rPr>
            </w:pPr>
            <w:r>
              <w:rPr>
                <w:rFonts w:hint="eastAsia" w:cs="Times New Roman"/>
                <w:sz w:val="28"/>
                <w:shd w:val="clear" w:color="auto" w:fill="FFFFFF"/>
              </w:rPr>
              <w:t>3.团队累计获得第六届中国青年志愿服务项目大赛节水护水专项赛三等奖等国家级荣誉2项、省级荣誉20项，获《人民日报》《学习强国》《CCTV》等主流媒体报道10余次，东南网、大武夷网等地方媒体宣传100多次。</w:t>
            </w:r>
          </w:p>
          <w:p w14:paraId="674C2320">
            <w:pPr>
              <w:wordWrap w:val="0"/>
              <w:spacing w:line="360" w:lineRule="auto"/>
              <w:ind w:firstLine="560" w:firstLineChars="200"/>
              <w:jc w:val="left"/>
              <w:rPr>
                <w:rFonts w:hint="eastAsia" w:cs="Times New Roman"/>
                <w:sz w:val="28"/>
                <w:shd w:val="clear" w:color="auto" w:fill="FFFFFF"/>
              </w:rPr>
            </w:pPr>
          </w:p>
          <w:p w14:paraId="6A9E0364">
            <w:pPr>
              <w:wordWrap w:val="0"/>
              <w:spacing w:line="360" w:lineRule="auto"/>
              <w:ind w:firstLine="560" w:firstLineChars="200"/>
              <w:jc w:val="left"/>
              <w:rPr>
                <w:rFonts w:cs="Times New Roman"/>
                <w:sz w:val="28"/>
                <w:shd w:val="clear" w:color="auto" w:fill="FFFFFF"/>
              </w:rPr>
            </w:pPr>
            <w:r>
              <w:rPr>
                <w:rFonts w:hint="eastAsia" w:cs="Times New Roman"/>
                <w:sz w:val="28"/>
                <w:shd w:val="clear" w:color="auto" w:fill="FFFFFF"/>
              </w:rPr>
              <w:t>负责人签字：                指导教师签字：</w:t>
            </w:r>
          </w:p>
          <w:p w14:paraId="4AF5079E">
            <w:pPr>
              <w:wordWrap w:val="0"/>
              <w:spacing w:line="360" w:lineRule="auto"/>
              <w:jc w:val="right"/>
              <w:rPr>
                <w:rFonts w:cs="Times New Roman"/>
                <w:b/>
                <w:bCs/>
                <w:sz w:val="24"/>
                <w:szCs w:val="24"/>
                <w:shd w:val="clear" w:color="auto" w:fill="FFFFFF"/>
              </w:rPr>
            </w:pPr>
            <w:r>
              <w:rPr>
                <w:rFonts w:hint="eastAsia" w:cs="Times New Roman"/>
                <w:sz w:val="28"/>
                <w:shd w:val="clear" w:color="auto" w:fill="FFFFFF"/>
              </w:rPr>
              <w:t xml:space="preserve">        年     月     日 </w:t>
            </w:r>
          </w:p>
        </w:tc>
      </w:tr>
      <w:tr w14:paraId="7B3C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1" w:hRule="atLeast"/>
          <w:jc w:val="center"/>
        </w:trPr>
        <w:tc>
          <w:tcPr>
            <w:tcW w:w="1670" w:type="dxa"/>
            <w:vAlign w:val="center"/>
          </w:tcPr>
          <w:p w14:paraId="5C68860A">
            <w:pPr>
              <w:spacing w:line="440" w:lineRule="exact"/>
              <w:jc w:val="center"/>
              <w:rPr>
                <w:rFonts w:hint="eastAsia" w:ascii="黑体" w:hAnsi="黑体" w:eastAsia="黑体" w:cs="黑体"/>
                <w:kern w:val="32"/>
                <w:sz w:val="28"/>
              </w:rPr>
            </w:pPr>
            <w:r>
              <w:rPr>
                <w:rFonts w:hint="eastAsia" w:ascii="黑体" w:hAnsi="黑体" w:eastAsia="黑体" w:cs="黑体"/>
                <w:kern w:val="32"/>
                <w:sz w:val="28"/>
              </w:rPr>
              <w:t>所在单位</w:t>
            </w:r>
          </w:p>
          <w:p w14:paraId="30EB0D05">
            <w:pPr>
              <w:spacing w:line="440" w:lineRule="exact"/>
              <w:jc w:val="center"/>
              <w:rPr>
                <w:rFonts w:cs="Times New Roman"/>
                <w:b/>
                <w:bCs/>
                <w:sz w:val="28"/>
                <w:shd w:val="clear" w:color="auto" w:fill="FFFFFF"/>
              </w:rPr>
            </w:pPr>
            <w:r>
              <w:rPr>
                <w:rFonts w:hint="eastAsia" w:ascii="黑体" w:hAnsi="黑体" w:eastAsia="黑体" w:cs="黑体"/>
                <w:kern w:val="32"/>
                <w:sz w:val="28"/>
              </w:rPr>
              <w:t>推荐意见</w:t>
            </w:r>
          </w:p>
        </w:tc>
        <w:tc>
          <w:tcPr>
            <w:tcW w:w="7039" w:type="dxa"/>
            <w:gridSpan w:val="5"/>
            <w:vAlign w:val="center"/>
          </w:tcPr>
          <w:p w14:paraId="445F350F">
            <w:pPr>
              <w:spacing w:line="440" w:lineRule="exact"/>
              <w:ind w:firstLine="2530" w:firstLineChars="900"/>
              <w:rPr>
                <w:rFonts w:cs="Times New Roman"/>
                <w:b/>
                <w:bCs/>
                <w:sz w:val="28"/>
                <w:shd w:val="clear" w:color="auto" w:fill="FFFFFF"/>
              </w:rPr>
            </w:pPr>
          </w:p>
          <w:p w14:paraId="13835BCA">
            <w:pPr>
              <w:spacing w:line="440" w:lineRule="exact"/>
              <w:ind w:firstLine="2530" w:firstLineChars="900"/>
              <w:rPr>
                <w:rFonts w:cs="Times New Roman"/>
                <w:b/>
                <w:bCs/>
                <w:sz w:val="28"/>
                <w:shd w:val="clear" w:color="auto" w:fill="FFFFFF"/>
              </w:rPr>
            </w:pPr>
          </w:p>
          <w:p w14:paraId="316517F8">
            <w:pPr>
              <w:spacing w:line="360" w:lineRule="auto"/>
              <w:ind w:firstLine="3935" w:firstLineChars="1400"/>
              <w:rPr>
                <w:rFonts w:cs="Times New Roman"/>
                <w:sz w:val="28"/>
                <w:shd w:val="clear" w:color="auto" w:fill="FFFFFF"/>
              </w:rPr>
            </w:pPr>
            <w:r>
              <w:rPr>
                <w:rFonts w:hint="eastAsia" w:cs="Times New Roman"/>
                <w:b/>
                <w:bCs/>
                <w:sz w:val="28"/>
                <w:shd w:val="clear" w:color="auto" w:fill="FFFFFF"/>
              </w:rPr>
              <w:t xml:space="preserve"> </w:t>
            </w:r>
            <w:r>
              <w:rPr>
                <w:rFonts w:hint="eastAsia" w:cs="Times New Roman"/>
                <w:sz w:val="28"/>
                <w:shd w:val="clear" w:color="auto" w:fill="FFFFFF"/>
              </w:rPr>
              <w:t>（盖章）：</w:t>
            </w:r>
          </w:p>
          <w:p w14:paraId="0E5558CB">
            <w:pPr>
              <w:wordWrap w:val="0"/>
              <w:spacing w:line="360" w:lineRule="auto"/>
              <w:jc w:val="right"/>
              <w:rPr>
                <w:rFonts w:cs="Times New Roman"/>
                <w:b/>
                <w:bCs/>
                <w:sz w:val="28"/>
                <w:shd w:val="clear" w:color="auto" w:fill="FFFFFF"/>
              </w:rPr>
            </w:pPr>
            <w:r>
              <w:rPr>
                <w:rFonts w:hint="eastAsia" w:cs="Times New Roman"/>
                <w:sz w:val="28"/>
                <w:shd w:val="clear" w:color="auto" w:fill="FFFFFF"/>
              </w:rPr>
              <w:t xml:space="preserve">年     月     日 </w:t>
            </w:r>
          </w:p>
        </w:tc>
      </w:tr>
      <w:tr w14:paraId="5B5D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jc w:val="center"/>
        </w:trPr>
        <w:tc>
          <w:tcPr>
            <w:tcW w:w="1670" w:type="dxa"/>
            <w:vAlign w:val="center"/>
          </w:tcPr>
          <w:p w14:paraId="4AB59E7E">
            <w:pPr>
              <w:spacing w:line="440" w:lineRule="exact"/>
              <w:jc w:val="center"/>
              <w:rPr>
                <w:rFonts w:hint="eastAsia" w:ascii="黑体" w:hAnsi="黑体" w:eastAsia="黑体" w:cs="黑体"/>
                <w:kern w:val="32"/>
                <w:sz w:val="28"/>
              </w:rPr>
            </w:pPr>
            <w:r>
              <w:rPr>
                <w:rFonts w:hint="eastAsia" w:ascii="黑体" w:hAnsi="黑体" w:eastAsia="黑体" w:cs="黑体"/>
                <w:kern w:val="32"/>
                <w:sz w:val="28"/>
              </w:rPr>
              <w:t>所在省（</w:t>
            </w:r>
          </w:p>
          <w:p w14:paraId="348E1DB8">
            <w:pPr>
              <w:spacing w:line="440" w:lineRule="exact"/>
              <w:jc w:val="center"/>
              <w:rPr>
                <w:rFonts w:hint="eastAsia" w:ascii="黑体" w:hAnsi="黑体" w:eastAsia="黑体" w:cs="黑体"/>
                <w:kern w:val="32"/>
                <w:sz w:val="28"/>
              </w:rPr>
            </w:pPr>
            <w:r>
              <w:rPr>
                <w:rFonts w:hint="eastAsia" w:ascii="黑体" w:hAnsi="黑体" w:eastAsia="黑体" w:cs="黑体"/>
                <w:kern w:val="32"/>
                <w:sz w:val="28"/>
              </w:rPr>
              <w:t>区、市）</w:t>
            </w:r>
          </w:p>
          <w:p w14:paraId="4B16DC6E">
            <w:pPr>
              <w:spacing w:line="440" w:lineRule="exact"/>
              <w:jc w:val="center"/>
              <w:rPr>
                <w:rFonts w:cs="Times New Roman"/>
                <w:b/>
                <w:bCs/>
                <w:sz w:val="28"/>
                <w:shd w:val="clear" w:color="auto" w:fill="FFFFFF"/>
              </w:rPr>
            </w:pPr>
            <w:r>
              <w:rPr>
                <w:rFonts w:hint="eastAsia" w:ascii="黑体" w:hAnsi="黑体" w:eastAsia="黑体" w:cs="黑体"/>
                <w:kern w:val="32"/>
                <w:sz w:val="28"/>
              </w:rPr>
              <w:t>推荐意见</w:t>
            </w:r>
          </w:p>
        </w:tc>
        <w:tc>
          <w:tcPr>
            <w:tcW w:w="7039" w:type="dxa"/>
            <w:gridSpan w:val="5"/>
            <w:vAlign w:val="center"/>
          </w:tcPr>
          <w:p w14:paraId="471357D4">
            <w:pPr>
              <w:spacing w:line="440" w:lineRule="exact"/>
              <w:jc w:val="center"/>
              <w:rPr>
                <w:rFonts w:cs="Times New Roman"/>
                <w:b/>
                <w:bCs/>
                <w:sz w:val="28"/>
                <w:shd w:val="clear" w:color="auto" w:fill="FFFFFF"/>
              </w:rPr>
            </w:pPr>
            <w:r>
              <w:rPr>
                <w:rFonts w:hint="eastAsia" w:cs="Times New Roman"/>
                <w:b/>
                <w:bCs/>
                <w:sz w:val="28"/>
                <w:shd w:val="clear" w:color="auto" w:fill="FFFFFF"/>
              </w:rPr>
              <w:t xml:space="preserve">          </w:t>
            </w:r>
          </w:p>
          <w:p w14:paraId="4C1D411F">
            <w:pPr>
              <w:spacing w:line="440" w:lineRule="exact"/>
              <w:rPr>
                <w:rFonts w:cs="Times New Roman"/>
                <w:b/>
                <w:bCs/>
                <w:sz w:val="28"/>
                <w:shd w:val="clear" w:color="auto" w:fill="FFFFFF"/>
              </w:rPr>
            </w:pPr>
          </w:p>
          <w:p w14:paraId="19582BB0">
            <w:pPr>
              <w:spacing w:line="360" w:lineRule="auto"/>
              <w:ind w:firstLine="3935" w:firstLineChars="1400"/>
              <w:rPr>
                <w:rFonts w:cs="Times New Roman"/>
                <w:sz w:val="28"/>
                <w:shd w:val="clear" w:color="auto" w:fill="FFFFFF"/>
              </w:rPr>
            </w:pPr>
            <w:r>
              <w:rPr>
                <w:rFonts w:hint="eastAsia" w:cs="Times New Roman"/>
                <w:b/>
                <w:bCs/>
                <w:sz w:val="28"/>
                <w:shd w:val="clear" w:color="auto" w:fill="FFFFFF"/>
              </w:rPr>
              <w:t xml:space="preserve"> </w:t>
            </w:r>
            <w:r>
              <w:rPr>
                <w:rFonts w:hint="eastAsia" w:cs="Times New Roman"/>
                <w:sz w:val="28"/>
                <w:shd w:val="clear" w:color="auto" w:fill="FFFFFF"/>
              </w:rPr>
              <w:t>（盖章）：</w:t>
            </w:r>
          </w:p>
          <w:p w14:paraId="6690C837">
            <w:pPr>
              <w:wordWrap w:val="0"/>
              <w:spacing w:line="360" w:lineRule="auto"/>
              <w:ind w:firstLine="560" w:firstLineChars="200"/>
              <w:jc w:val="right"/>
              <w:rPr>
                <w:rFonts w:cs="Times New Roman"/>
                <w:b/>
                <w:bCs/>
                <w:sz w:val="28"/>
                <w:shd w:val="clear" w:color="auto" w:fill="FFFFFF"/>
              </w:rPr>
            </w:pPr>
            <w:r>
              <w:rPr>
                <w:rFonts w:hint="eastAsia" w:cs="Times New Roman"/>
                <w:sz w:val="28"/>
                <w:shd w:val="clear" w:color="auto" w:fill="FFFFFF"/>
              </w:rPr>
              <w:t xml:space="preserve">年     月     日 </w:t>
            </w:r>
          </w:p>
        </w:tc>
      </w:tr>
    </w:tbl>
    <w:p w14:paraId="18999113">
      <w:pPr>
        <w:spacing w:line="440" w:lineRule="exact"/>
        <w:ind w:firstLine="640" w:firstLineChars="200"/>
      </w:pPr>
    </w:p>
    <w:sectPr>
      <w:footerReference r:id="rId5" w:type="default"/>
      <w:pgSz w:w="11906" w:h="16838"/>
      <w:pgMar w:top="1644" w:right="1814" w:bottom="1644" w:left="1984" w:header="851" w:footer="992" w:gutter="0"/>
      <w:pgNumType w:fmt="decimal" w:start="1"/>
      <w:cols w:space="0" w:num="1"/>
      <w:rtlGutter w:val="0"/>
      <w:docGrid w:type="lines" w:linePitch="45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C976C7A-BE8B-40A6-ACF2-11BBF393F28B}"/>
  </w:font>
  <w:font w:name="Arial">
    <w:panose1 w:val="020B0604020202020204"/>
    <w:charset w:val="01"/>
    <w:family w:val="swiss"/>
    <w:pitch w:val="default"/>
    <w:sig w:usb0="E0002EFF" w:usb1="C000785B" w:usb2="00000009" w:usb3="00000000" w:csb0="400001FF" w:csb1="FFFF0000"/>
    <w:embedRegular r:id="rId2" w:fontKey="{C6EB8A7B-3E68-42A2-8E3F-C8FCE24B9FD1}"/>
  </w:font>
  <w:font w:name="黑体">
    <w:panose1 w:val="02010609060101010101"/>
    <w:charset w:val="86"/>
    <w:family w:val="auto"/>
    <w:pitch w:val="default"/>
    <w:sig w:usb0="800002BF" w:usb1="38CF7CFA" w:usb2="00000016" w:usb3="00000000" w:csb0="00040001" w:csb1="00000000"/>
    <w:embedRegular r:id="rId3" w:fontKey="{9DDFCF0D-8A23-4B5F-83A1-A3E641F631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11C3746F-E404-46C6-A34D-5F536BA23EB1}"/>
  </w:font>
  <w:font w:name="方正小标宋简体">
    <w:panose1 w:val="03000509000000000000"/>
    <w:charset w:val="86"/>
    <w:family w:val="auto"/>
    <w:pitch w:val="default"/>
    <w:sig w:usb0="00000001" w:usb1="080E0000" w:usb2="00000000" w:usb3="00000000" w:csb0="00040000" w:csb1="00000000"/>
    <w:embedRegular r:id="rId5" w:fontKey="{AF53C781-0C47-4AF2-AC6A-D8B95E4508C2}"/>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4F85B">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48BCC">
                          <w:pPr>
                            <w:pStyle w:val="2"/>
                            <w:ind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7048BCC">
                    <w:pPr>
                      <w:pStyle w:val="2"/>
                      <w:ind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pPr>
      <w:r>
        <w:separator/>
      </w:r>
    </w:p>
  </w:footnote>
  <w:footnote w:type="continuationSeparator" w:id="1">
    <w:p>
      <w:pPr>
        <w:spacing w:line="28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DB85119"/>
    <w:rsid w:val="06136D1E"/>
    <w:rsid w:val="087F106F"/>
    <w:rsid w:val="0960641E"/>
    <w:rsid w:val="1D0A20CC"/>
    <w:rsid w:val="1E062D08"/>
    <w:rsid w:val="291C47AB"/>
    <w:rsid w:val="36F76960"/>
    <w:rsid w:val="416E62DC"/>
    <w:rsid w:val="41AC0064"/>
    <w:rsid w:val="45310C15"/>
    <w:rsid w:val="4B751DCD"/>
    <w:rsid w:val="4FB7157D"/>
    <w:rsid w:val="57A1485C"/>
    <w:rsid w:val="583C3B71"/>
    <w:rsid w:val="5C95407D"/>
    <w:rsid w:val="70D01BC6"/>
    <w:rsid w:val="75D495F2"/>
    <w:rsid w:val="76E23767"/>
    <w:rsid w:val="7D4C738B"/>
    <w:rsid w:val="7DC25C0F"/>
    <w:rsid w:val="B9A63993"/>
    <w:rsid w:val="BDB85119"/>
    <w:rsid w:val="E7C45CFB"/>
    <w:rsid w:val="F7EEC2BF"/>
    <w:rsid w:val="FFFFF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jc w:val="both"/>
    </w:pPr>
    <w:rPr>
      <w:rFonts w:ascii="Times New Roman" w:hAnsi="Times New Roman" w:eastAsia="仿宋_GB2312" w:cs="仿宋_GB2312"/>
      <w:kern w:val="2"/>
      <w:sz w:val="32"/>
      <w:szCs w:val="28"/>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spacing w:line="560" w:lineRule="exact"/>
      <w:ind w:firstLine="880" w:firstLineChars="200"/>
      <w:jc w:val="left"/>
    </w:pPr>
    <w:rPr>
      <w:rFonts w:cstheme="minorBidi"/>
      <w:sz w:val="18"/>
      <w:szCs w:val="24"/>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b1d74b35-40b4-48f8-be84-4b9cd48ee104</errorID>
      <errorWord>着解</errorWord>
      <group>L1_Word</group>
      <groupName>字词问题</groupName>
      <ability>L2_Typo</ability>
      <abilityName>字词错误</abilityName>
      <candidateList>
        <item>破解</item>
      </candidateList>
      <explain/>
      <paraID>35B668EE</paraID>
      <start>45</start>
      <end>47</end>
      <status>modified</status>
      <modifiedWord>破解</modifiedWord>
      <trackRevisions>false</trackRevisions>
    </reviewItem>
    <reviewItem>
      <errorID>b33c0c0d-c726-4e08-926a-af569293a203</errorID>
      <errorWord>精化为</errorWord>
      <group>L1_Word</group>
      <groupName>字词问题</groupName>
      <ability>L2_Typo</ability>
      <abilityName>字词错误</abilityName>
      <candidateList>
        <item>转化为</item>
      </candidateList>
      <explain/>
      <paraID>1CDACA59</paraID>
      <start>56</start>
      <end>59</end>
      <status>modified</status>
      <modifiedWord>转化为</modifiedWord>
      <trackRevisions>false</trackRevisions>
    </reviewItem>
    <reviewItem>
      <errorID>a7b2d0a0-0ef4-4400-a933-2ff4453e968d</errorID>
      <errorWord>的</errorWord>
      <group>L1_Word</group>
      <groupName>字词问题</groupName>
      <ability>L2_Typo</ability>
      <abilityName>字词错误</abilityName>
      <candidateList>
        <item>的实</item>
      </candidateList>
      <explain/>
      <paraID>1CDACA59</paraID>
      <start>63</start>
      <end>65</end>
      <status>modified</status>
      <modifiedWord>的实</modifiedWord>
      <trackRevisions>false</trackRevisions>
    </reviewItem>
    <reviewItem>
      <errorID>68f6526f-f1ef-4bff-8016-893d2d31b711</errorID>
      <errorWord>际</errorWord>
      <group>L1_Word</group>
      <groupName>字词问题</groupName>
      <ability>L2_Typo</ability>
      <abilityName>字词错误</abilityName>
      <candidateList>
        <item>实践</item>
      </candidateList>
      <explain/>
      <paraID>1CDACA59</paraID>
      <start>65</start>
      <end>67</end>
      <status>modified</status>
      <modifiedWord>实践</modifiedWord>
      <trackRevisions>false</trackRevisions>
    </reviewItem>
    <reviewItem>
      <errorID>61bd9c41-749b-4c74-86a7-b91868e4098e</errorID>
      <errorWord>落真</errorWord>
      <group>L1_Word</group>
      <groupName>字词问题</groupName>
      <ability>L2_Typo</ability>
      <abilityName>字词错误</abilityName>
      <candidateList>
        <item>落实</item>
      </candidateList>
      <explain/>
      <paraID>1CDACA59</paraID>
      <start>139</start>
      <end>141</end>
      <status>modified</status>
      <modifiedWord>落实</modifiedWord>
      <trackRevisions>false</trackRevisions>
    </reviewItem>
    <reviewItem>
      <errorID>e5db4d07-a3d1-4ed0-8981-05b154d99ae2</errorID>
      <errorWord>独源</errorWord>
      <group>L1_Word</group>
      <groupName>字词问题</groupName>
      <ability>L2_Typo</ability>
      <abilityName>字词错误</abilityName>
      <candidateList>
        <item>资源</item>
      </candidateList>
      <explain/>
      <paraID>725351CA</paraID>
      <start>36</start>
      <end>38</end>
      <status>modified</status>
      <modifiedWord>资源</modifiedWord>
      <trackRevisions>false</trackRevisions>
    </reviewItem>
    <reviewItem>
      <errorID>1fa9f8aa-6ab8-4c8f-a600-7ddd91343e9c</errorID>
      <errorWord>，</errorWord>
      <group>L1_Punc</group>
      <groupName>标点问题</groupName>
      <ability>L2_Punc_CN</ability>
      <abilityName>标点符号问题</abilityName>
      <candidateList>
        <item/>
      </candidateList>
      <explain/>
      <paraID>725351CA</paraID>
      <start>106</start>
      <end>106</end>
      <status>modified</status>
      <modifiedWord/>
      <trackRevisions>false</trackRevisions>
    </reviewItem>
    <reviewItem>
      <errorID>a55dff93-51e7-4ea0-b4fb-464936e863cd</errorID>
      <errorWord>，、</errorWord>
      <group>L1_Punc</group>
      <groupName>标点问题</groupName>
      <ability>L2_Punc_CN</ability>
      <abilityName>标点符号问题</abilityName>
      <candidateList>
        <item>，</item>
      </candidateList>
      <explain/>
      <paraID>5E22A1BF</paraID>
      <start>106</start>
      <end>107</end>
      <status>modified</status>
      <modifiedWord>，</modifiedWord>
      <trackRevisions>false</trackRevisions>
    </reviewItem>
    <reviewItem>
      <errorID>3b0f2f4f-8bb9-4497-bd13-1d256175ca9e</errorID>
      <errorWord>本</errorWord>
      <group>L1_Word</group>
      <groupName>字词问题</groupName>
      <ability>L2_Typo</ability>
      <abilityName>字词错误</abilityName>
      <candidateList>
        <item>样本</item>
      </candidateList>
      <explain/>
      <paraID>5E22A1BF</paraID>
      <start>162</start>
      <end>164</end>
      <status>modified</status>
      <modifiedWord>样本</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d34347-0680-448f-9556-7aa9da7a4f05}">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1243</Words>
  <Characters>1307</Characters>
  <Lines>0</Lines>
  <Paragraphs>0</Paragraphs>
  <TotalTime>3</TotalTime>
  <ScaleCrop>false</ScaleCrop>
  <LinksUpToDate>false</LinksUpToDate>
  <CharactersWithSpaces>1391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2025-07-10T22:10:00Z</dcterms:created>
  <dc:creator>向美玲</dc:creator>
  <cp:lastModifiedBy>黄春安</cp:lastModifiedBy>
  <cp:lastPrinted>2026-08-27T03:02:00Z</cp:lastPrinted>
  <dcterms:modified xsi:type="dcterms:W3CDTF">2026-09-09T03:44:38Z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F1012307C9B441099CF0021397069443_13</vt:lpwstr>
  </property>
  <property fmtid="{D5CDD505-2E9C-101B-9397-08002B2CF9AE}" pid="4" name="KSOTemplateDocerSaveRecord">
    <vt:lpwstr>eyJoZGlkIjoiYTM0YWZmYTI3MjE2ODkxM2QxNDEwNjM5NTY2MzlmYWUiLCJ1c2VySWQiOiI0MTcyNjYzMDIifQ==</vt:lpwstr>
  </property>
</Properties>
</file>