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5B8CD0">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方正小标宋简体" w:hAnsi="Times New Roman" w:eastAsia="方正小标宋简体" w:cs="Times New Roman"/>
          <w:sz w:val="44"/>
          <w:szCs w:val="44"/>
        </w:rPr>
      </w:pPr>
      <w:r>
        <w:rPr>
          <w:rFonts w:hint="eastAsia" w:ascii="方正小标宋简体" w:hAnsi="Times New Roman" w:eastAsia="方正小标宋简体" w:cs="Times New Roman"/>
          <w:sz w:val="44"/>
          <w:szCs w:val="44"/>
        </w:rPr>
        <w:t>关于做好202</w:t>
      </w:r>
      <w:r>
        <w:rPr>
          <w:rFonts w:hint="eastAsia" w:ascii="方正小标宋简体" w:hAnsi="Times New Roman" w:eastAsia="方正小标宋简体" w:cs="Times New Roman"/>
          <w:sz w:val="44"/>
          <w:szCs w:val="44"/>
          <w:lang w:val="en-US" w:eastAsia="zh-CN"/>
        </w:rPr>
        <w:t>6</w:t>
      </w:r>
      <w:r>
        <w:rPr>
          <w:rFonts w:hint="eastAsia" w:ascii="方正小标宋简体" w:hAnsi="Times New Roman" w:eastAsia="方正小标宋简体" w:cs="Times New Roman"/>
          <w:sz w:val="44"/>
          <w:szCs w:val="44"/>
        </w:rPr>
        <w:t>年在校生辅修专业</w:t>
      </w:r>
    </w:p>
    <w:p w14:paraId="4B5FDFE5">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ascii="方正小标宋简体" w:hAnsi="Times New Roman" w:eastAsia="方正小标宋简体" w:cs="Times New Roman"/>
          <w:sz w:val="44"/>
          <w:szCs w:val="44"/>
        </w:rPr>
      </w:pPr>
      <w:r>
        <w:rPr>
          <w:rFonts w:hint="eastAsia" w:ascii="方正小标宋简体" w:hAnsi="Times New Roman" w:eastAsia="方正小标宋简体" w:cs="Times New Roman"/>
          <w:sz w:val="44"/>
          <w:szCs w:val="44"/>
        </w:rPr>
        <w:t>申请</w:t>
      </w:r>
      <w:r>
        <w:rPr>
          <w:rFonts w:hint="eastAsia" w:ascii="方正小标宋简体" w:hAnsi="Times New Roman" w:eastAsia="方正小标宋简体" w:cs="Times New Roman"/>
          <w:sz w:val="44"/>
          <w:szCs w:val="44"/>
          <w:lang w:val="en-US" w:eastAsia="zh-CN"/>
        </w:rPr>
        <w:t>工作</w:t>
      </w:r>
      <w:r>
        <w:rPr>
          <w:rFonts w:hint="eastAsia" w:ascii="方正小标宋简体" w:hAnsi="Times New Roman" w:eastAsia="方正小标宋简体" w:cs="Times New Roman"/>
          <w:sz w:val="44"/>
          <w:szCs w:val="44"/>
        </w:rPr>
        <w:t>的通知</w:t>
      </w:r>
    </w:p>
    <w:p w14:paraId="61C3B76B">
      <w:pPr>
        <w:pStyle w:val="5"/>
        <w:keepNext w:val="0"/>
        <w:keepLines w:val="0"/>
        <w:pageBreakBefore w:val="0"/>
        <w:widowControl/>
        <w:kinsoku/>
        <w:wordWrap/>
        <w:overflowPunct/>
        <w:topLinePunct w:val="0"/>
        <w:autoSpaceDE/>
        <w:autoSpaceDN/>
        <w:bidi w:val="0"/>
        <w:adjustRightInd/>
        <w:snapToGrid w:val="0"/>
        <w:spacing w:beforeAutospacing="0" w:afterAutospacing="0" w:line="520" w:lineRule="exact"/>
        <w:textAlignment w:val="auto"/>
        <w:rPr>
          <w:rFonts w:ascii="仿宋_GB2312" w:hAnsi="仿宋_GB2312" w:eastAsia="仿宋_GB2312" w:cs="仿宋_GB2312"/>
          <w:snapToGrid w:val="0"/>
          <w:sz w:val="32"/>
          <w:szCs w:val="32"/>
        </w:rPr>
      </w:pPr>
      <w:r>
        <w:rPr>
          <w:rFonts w:hint="eastAsia" w:ascii="仿宋_GB2312" w:hAnsi="仿宋_GB2312" w:eastAsia="仿宋_GB2312" w:cs="仿宋_GB2312"/>
          <w:snapToGrid w:val="0"/>
          <w:sz w:val="32"/>
          <w:szCs w:val="32"/>
        </w:rPr>
        <w:t>各学院：</w:t>
      </w:r>
    </w:p>
    <w:p w14:paraId="04775AA0">
      <w:pPr>
        <w:pStyle w:val="5"/>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640" w:firstLineChars="200"/>
        <w:textAlignment w:val="auto"/>
        <w:rPr>
          <w:rFonts w:ascii="仿宋_GB2312" w:hAnsi="仿宋_GB2312" w:eastAsia="仿宋_GB2312" w:cs="仿宋_GB2312"/>
          <w:snapToGrid w:val="0"/>
          <w:sz w:val="32"/>
          <w:szCs w:val="32"/>
        </w:rPr>
      </w:pPr>
      <w:r>
        <w:rPr>
          <w:rFonts w:hint="eastAsia" w:ascii="仿宋_GB2312" w:hAnsi="仿宋_GB2312" w:eastAsia="仿宋_GB2312" w:cs="仿宋_GB2312"/>
          <w:snapToGrid w:val="0"/>
          <w:sz w:val="32"/>
          <w:szCs w:val="32"/>
        </w:rPr>
        <w:t>为深化人才培养模式改革，充分发挥学校办学特色与优势，培养思想品德优良、专业基础扎实、富有</w:t>
      </w:r>
      <w:bookmarkStart w:id="0" w:name="_GoBack"/>
      <w:bookmarkEnd w:id="0"/>
      <w:r>
        <w:rPr>
          <w:rFonts w:hint="eastAsia" w:ascii="仿宋_GB2312" w:hAnsi="仿宋_GB2312" w:eastAsia="仿宋_GB2312" w:cs="仿宋_GB2312"/>
          <w:snapToGrid w:val="0"/>
          <w:sz w:val="32"/>
          <w:szCs w:val="32"/>
        </w:rPr>
        <w:t>创新精神和实践能力的复合型应用型人才，我校继续实行主辅修制，允许学有余力的全日制普通本科在校生修读辅修专业。现将2026年在校生辅修修读相关工作安排通知如下：</w:t>
      </w:r>
    </w:p>
    <w:p w14:paraId="57CEFC07">
      <w:pPr>
        <w:pStyle w:val="5"/>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640" w:firstLineChars="200"/>
        <w:textAlignment w:val="auto"/>
        <w:rPr>
          <w:rFonts w:ascii="仿宋_GB2312" w:hAnsi="仿宋_GB2312" w:eastAsia="仿宋_GB2312" w:cs="仿宋_GB2312"/>
          <w:snapToGrid w:val="0"/>
          <w:sz w:val="32"/>
          <w:szCs w:val="32"/>
        </w:rPr>
      </w:pPr>
      <w:r>
        <w:rPr>
          <w:rFonts w:hint="eastAsia" w:ascii="仿宋_GB2312" w:hAnsi="仿宋_GB2312" w:eastAsia="仿宋_GB2312" w:cs="仿宋_GB2312"/>
          <w:snapToGrid w:val="0"/>
          <w:sz w:val="32"/>
          <w:szCs w:val="32"/>
        </w:rPr>
        <w:t>一、修读条件</w:t>
      </w:r>
    </w:p>
    <w:p w14:paraId="20F42906">
      <w:pPr>
        <w:pStyle w:val="5"/>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640" w:firstLineChars="200"/>
        <w:textAlignment w:val="auto"/>
        <w:rPr>
          <w:rFonts w:hint="eastAsia" w:ascii="仿宋_GB2312" w:hAnsi="仿宋_GB2312" w:eastAsia="仿宋_GB2312" w:cs="仿宋_GB2312"/>
          <w:snapToGrid w:val="0"/>
          <w:sz w:val="32"/>
          <w:szCs w:val="32"/>
        </w:rPr>
      </w:pPr>
      <w:r>
        <w:rPr>
          <w:rFonts w:hint="eastAsia" w:ascii="仿宋_GB2312" w:hAnsi="仿宋_GB2312" w:eastAsia="仿宋_GB2312" w:cs="仿宋_GB2312"/>
          <w:snapToGrid w:val="0"/>
          <w:sz w:val="32"/>
          <w:szCs w:val="32"/>
          <w:lang w:val="en-US" w:eastAsia="zh-CN"/>
        </w:rPr>
        <w:t>1.</w:t>
      </w:r>
      <w:r>
        <w:rPr>
          <w:rFonts w:hint="eastAsia" w:ascii="仿宋_GB2312" w:hAnsi="仿宋_GB2312" w:eastAsia="仿宋_GB2312" w:cs="仿宋_GB2312"/>
          <w:snapToGrid w:val="0"/>
          <w:sz w:val="32"/>
          <w:szCs w:val="32"/>
        </w:rPr>
        <w:t>申请对象须为我校普通全日制本科生，具体年级要求如下：</w:t>
      </w:r>
    </w:p>
    <w:p w14:paraId="4968EDBE">
      <w:pPr>
        <w:pStyle w:val="5"/>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640" w:firstLineChars="200"/>
        <w:textAlignment w:val="auto"/>
        <w:rPr>
          <w:rFonts w:hint="eastAsia" w:ascii="仿宋_GB2312" w:hAnsi="仿宋_GB2312" w:eastAsia="仿宋_GB2312" w:cs="仿宋_GB2312"/>
          <w:snapToGrid w:val="0"/>
          <w:sz w:val="32"/>
          <w:szCs w:val="32"/>
        </w:rPr>
      </w:pPr>
      <w:r>
        <w:rPr>
          <w:rFonts w:hint="eastAsia" w:ascii="仿宋_GB2312" w:hAnsi="仿宋_GB2312" w:eastAsia="仿宋_GB2312" w:cs="仿宋_GB2312"/>
          <w:snapToGrid w:val="0"/>
          <w:sz w:val="32"/>
          <w:szCs w:val="32"/>
        </w:rPr>
        <w:t>（1）四年制专业：2024级、2025级在校本科生；</w:t>
      </w:r>
    </w:p>
    <w:p w14:paraId="53F98D28">
      <w:pPr>
        <w:pStyle w:val="5"/>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640" w:firstLineChars="200"/>
        <w:textAlignment w:val="auto"/>
        <w:rPr>
          <w:rFonts w:hint="eastAsia" w:ascii="仿宋_GB2312" w:hAnsi="仿宋_GB2312" w:eastAsia="仿宋_GB2312" w:cs="仿宋_GB2312"/>
          <w:snapToGrid w:val="0"/>
          <w:sz w:val="32"/>
          <w:szCs w:val="32"/>
        </w:rPr>
      </w:pPr>
      <w:r>
        <w:rPr>
          <w:rFonts w:hint="eastAsia" w:ascii="仿宋_GB2312" w:hAnsi="仿宋_GB2312" w:eastAsia="仿宋_GB2312" w:cs="仿宋_GB2312"/>
          <w:snapToGrid w:val="0"/>
          <w:sz w:val="32"/>
          <w:szCs w:val="32"/>
        </w:rPr>
        <w:t>（2）五年制专业：2023级、2024级、2025级在校本科生。</w:t>
      </w:r>
    </w:p>
    <w:p w14:paraId="7023B05C">
      <w:pPr>
        <w:pStyle w:val="5"/>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640" w:firstLineChars="200"/>
        <w:textAlignment w:val="auto"/>
        <w:rPr>
          <w:rFonts w:hint="eastAsia" w:ascii="仿宋_GB2312" w:hAnsi="仿宋_GB2312" w:eastAsia="仿宋_GB2312" w:cs="仿宋_GB2312"/>
          <w:snapToGrid w:val="0"/>
          <w:sz w:val="32"/>
          <w:szCs w:val="32"/>
        </w:rPr>
      </w:pPr>
      <w:r>
        <w:rPr>
          <w:rFonts w:hint="eastAsia" w:ascii="仿宋_GB2312" w:hAnsi="仿宋_GB2312" w:eastAsia="仿宋_GB2312" w:cs="仿宋_GB2312"/>
          <w:snapToGrid w:val="0"/>
          <w:sz w:val="32"/>
          <w:szCs w:val="32"/>
          <w:lang w:val="en-US" w:eastAsia="zh-CN"/>
        </w:rPr>
        <w:t>2.</w:t>
      </w:r>
      <w:r>
        <w:rPr>
          <w:rFonts w:hint="eastAsia" w:ascii="仿宋_GB2312" w:hAnsi="仿宋_GB2312" w:eastAsia="仿宋_GB2312" w:cs="仿宋_GB2312"/>
          <w:snapToGrid w:val="0"/>
          <w:sz w:val="32"/>
          <w:szCs w:val="32"/>
        </w:rPr>
        <w:t>主修专业已修课程成绩均无不及格记录，且平均学分绩点达到2.0及以上。</w:t>
      </w:r>
    </w:p>
    <w:p w14:paraId="4FF96694">
      <w:pPr>
        <w:pStyle w:val="5"/>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640" w:firstLineChars="200"/>
        <w:textAlignment w:val="auto"/>
        <w:rPr>
          <w:rFonts w:hint="eastAsia" w:ascii="仿宋_GB2312" w:hAnsi="仿宋_GB2312" w:eastAsia="仿宋_GB2312" w:cs="仿宋_GB2312"/>
          <w:snapToGrid w:val="0"/>
          <w:sz w:val="32"/>
          <w:szCs w:val="32"/>
        </w:rPr>
      </w:pPr>
      <w:r>
        <w:rPr>
          <w:rFonts w:hint="eastAsia" w:ascii="仿宋_GB2312" w:hAnsi="仿宋_GB2312" w:eastAsia="仿宋_GB2312" w:cs="仿宋_GB2312"/>
          <w:snapToGrid w:val="0"/>
          <w:sz w:val="32"/>
          <w:szCs w:val="32"/>
          <w:lang w:val="en-US" w:eastAsia="zh-CN"/>
        </w:rPr>
        <w:t>3.</w:t>
      </w:r>
      <w:r>
        <w:rPr>
          <w:rFonts w:hint="eastAsia" w:ascii="仿宋_GB2312" w:hAnsi="仿宋_GB2312" w:eastAsia="仿宋_GB2312" w:cs="仿宋_GB2312"/>
          <w:snapToGrid w:val="0"/>
          <w:sz w:val="32"/>
          <w:szCs w:val="32"/>
        </w:rPr>
        <w:t>主修专业学费已按规定缴清。</w:t>
      </w:r>
    </w:p>
    <w:p w14:paraId="4CD9C0A7">
      <w:pPr>
        <w:pStyle w:val="5"/>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640" w:firstLineChars="200"/>
        <w:textAlignment w:val="auto"/>
        <w:rPr>
          <w:rFonts w:hint="eastAsia" w:ascii="仿宋_GB2312" w:hAnsi="仿宋_GB2312" w:eastAsia="仿宋_GB2312" w:cs="仿宋_GB2312"/>
          <w:snapToGrid w:val="0"/>
          <w:sz w:val="32"/>
          <w:szCs w:val="32"/>
        </w:rPr>
      </w:pPr>
      <w:r>
        <w:rPr>
          <w:rFonts w:hint="eastAsia" w:ascii="仿宋_GB2312" w:hAnsi="仿宋_GB2312" w:eastAsia="仿宋_GB2312" w:cs="仿宋_GB2312"/>
          <w:snapToGrid w:val="0"/>
          <w:sz w:val="32"/>
          <w:szCs w:val="32"/>
          <w:lang w:val="en-US" w:eastAsia="zh-CN"/>
        </w:rPr>
        <w:t>4.</w:t>
      </w:r>
      <w:r>
        <w:rPr>
          <w:rFonts w:hint="eastAsia" w:ascii="仿宋_GB2312" w:hAnsi="仿宋_GB2312" w:eastAsia="仿宋_GB2312" w:cs="仿宋_GB2312"/>
          <w:snapToGrid w:val="0"/>
          <w:sz w:val="32"/>
          <w:szCs w:val="32"/>
        </w:rPr>
        <w:t>符合辅修专业开办学院规定的其他招生条件。</w:t>
      </w:r>
    </w:p>
    <w:p w14:paraId="44C44622">
      <w:pPr>
        <w:pStyle w:val="5"/>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640" w:firstLineChars="200"/>
        <w:textAlignment w:val="auto"/>
        <w:rPr>
          <w:rFonts w:hint="eastAsia" w:ascii="仿宋_GB2312" w:hAnsi="仿宋_GB2312" w:eastAsia="仿宋_GB2312" w:cs="仿宋_GB2312"/>
          <w:snapToGrid w:val="0"/>
          <w:sz w:val="32"/>
          <w:szCs w:val="32"/>
        </w:rPr>
      </w:pPr>
      <w:r>
        <w:rPr>
          <w:rFonts w:hint="eastAsia" w:ascii="仿宋_GB2312" w:hAnsi="仿宋_GB2312" w:eastAsia="仿宋_GB2312" w:cs="仿宋_GB2312"/>
          <w:snapToGrid w:val="0"/>
          <w:sz w:val="32"/>
          <w:szCs w:val="32"/>
          <w:lang w:val="en-US" w:eastAsia="zh-CN"/>
        </w:rPr>
        <w:t>5.</w:t>
      </w:r>
      <w:r>
        <w:rPr>
          <w:rFonts w:hint="eastAsia" w:ascii="仿宋_GB2312" w:hAnsi="仿宋_GB2312" w:eastAsia="仿宋_GB2312" w:cs="仿宋_GB2312"/>
          <w:snapToGrid w:val="0"/>
          <w:sz w:val="32"/>
          <w:szCs w:val="32"/>
        </w:rPr>
        <w:t>若辅修专业与主修专业属于同一学科门类（如工学、文学、管理学等），学生在达到毕业相关要求后，可获颁辅修毕业证书，但不授予辅修学士学位；若辅修专业与主修专业分属不同学科门类，学生申请辅修学士学位的，除满足毕业要求外，还须在获得主修专业学士学位的基础上，完成辅修专业毕业设计（论文），方可授予辅修学士学位，同时颁发辅修毕业证书，并在主修学位证书上标注辅修学位相关信息。</w:t>
      </w:r>
    </w:p>
    <w:p w14:paraId="03EA9FDE">
      <w:pPr>
        <w:pStyle w:val="5"/>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640" w:firstLineChars="200"/>
        <w:textAlignment w:val="auto"/>
        <w:rPr>
          <w:rFonts w:ascii="仿宋_GB2312" w:hAnsi="仿宋_GB2312" w:eastAsia="仿宋_GB2312" w:cs="仿宋_GB2312"/>
          <w:snapToGrid w:val="0"/>
          <w:sz w:val="32"/>
          <w:szCs w:val="32"/>
        </w:rPr>
      </w:pPr>
      <w:r>
        <w:rPr>
          <w:rFonts w:hint="eastAsia" w:ascii="仿宋_GB2312" w:hAnsi="仿宋_GB2312" w:eastAsia="仿宋_GB2312" w:cs="仿宋_GB2312"/>
          <w:snapToGrid w:val="0"/>
          <w:sz w:val="32"/>
          <w:szCs w:val="32"/>
          <w:lang w:val="en-US" w:eastAsia="zh-CN"/>
        </w:rPr>
        <w:t>6.</w:t>
      </w:r>
      <w:r>
        <w:rPr>
          <w:rFonts w:hint="eastAsia" w:ascii="仿宋_GB2312" w:hAnsi="仿宋_GB2312" w:eastAsia="仿宋_GB2312" w:cs="仿宋_GB2312"/>
          <w:snapToGrid w:val="0"/>
          <w:sz w:val="32"/>
          <w:szCs w:val="32"/>
        </w:rPr>
        <w:t>每名学生在校期间仅限申请修读一个辅修专业，不得重复申请。</w:t>
      </w:r>
    </w:p>
    <w:p w14:paraId="3122B47A">
      <w:pPr>
        <w:pStyle w:val="5"/>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640" w:firstLineChars="200"/>
        <w:textAlignment w:val="auto"/>
        <w:rPr>
          <w:rFonts w:hint="eastAsia" w:ascii="仿宋_GB2312" w:hAnsi="仿宋_GB2312" w:eastAsia="仿宋_GB2312" w:cs="仿宋_GB2312"/>
          <w:snapToGrid w:val="0"/>
          <w:sz w:val="32"/>
          <w:szCs w:val="32"/>
        </w:rPr>
      </w:pPr>
      <w:r>
        <w:rPr>
          <w:rFonts w:hint="eastAsia" w:ascii="仿宋_GB2312" w:hAnsi="仿宋_GB2312" w:eastAsia="仿宋_GB2312" w:cs="仿宋_GB2312"/>
          <w:snapToGrid w:val="0"/>
          <w:sz w:val="32"/>
          <w:szCs w:val="32"/>
        </w:rPr>
        <w:t>二、报名程序</w:t>
      </w:r>
    </w:p>
    <w:p w14:paraId="60C657AD">
      <w:pPr>
        <w:pStyle w:val="5"/>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640" w:firstLineChars="200"/>
        <w:textAlignment w:val="auto"/>
        <w:rPr>
          <w:rFonts w:hint="eastAsia" w:ascii="仿宋_GB2312" w:hAnsi="仿宋_GB2312" w:eastAsia="仿宋_GB2312" w:cs="仿宋_GB2312"/>
          <w:snapToGrid w:val="0"/>
          <w:sz w:val="32"/>
          <w:szCs w:val="32"/>
        </w:rPr>
      </w:pPr>
      <w:r>
        <w:rPr>
          <w:rFonts w:hint="eastAsia" w:ascii="仿宋_GB2312" w:hAnsi="仿宋_GB2312" w:eastAsia="仿宋_GB2312" w:cs="仿宋_GB2312"/>
          <w:snapToGrid w:val="0"/>
          <w:sz w:val="32"/>
          <w:szCs w:val="32"/>
          <w:lang w:val="en-US" w:eastAsia="zh-CN"/>
        </w:rPr>
        <w:t>2026-2027学年开放申请的辅修专业为：电气工程及其自动化、汉语言文学、工程造价。</w:t>
      </w:r>
    </w:p>
    <w:p w14:paraId="634DBEFC">
      <w:pPr>
        <w:pStyle w:val="5"/>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640" w:firstLineChars="200"/>
        <w:textAlignment w:val="auto"/>
        <w:rPr>
          <w:rFonts w:ascii="仿宋_GB2312" w:hAnsi="仿宋_GB2312" w:eastAsia="仿宋_GB2312" w:cs="仿宋_GB2312"/>
          <w:snapToGrid w:val="0"/>
          <w:sz w:val="32"/>
          <w:szCs w:val="32"/>
        </w:rPr>
      </w:pPr>
      <w:r>
        <w:rPr>
          <w:rFonts w:hint="eastAsia" w:ascii="仿宋_GB2312" w:hAnsi="仿宋_GB2312" w:eastAsia="仿宋_GB2312" w:cs="仿宋_GB2312"/>
          <w:snapToGrid w:val="0"/>
          <w:sz w:val="32"/>
          <w:szCs w:val="32"/>
        </w:rPr>
        <w:t>1、9月</w:t>
      </w:r>
      <w:r>
        <w:rPr>
          <w:rFonts w:hint="eastAsia" w:ascii="仿宋_GB2312" w:hAnsi="仿宋_GB2312" w:eastAsia="仿宋_GB2312" w:cs="仿宋_GB2312"/>
          <w:snapToGrid w:val="0"/>
          <w:sz w:val="32"/>
          <w:szCs w:val="32"/>
          <w:lang w:val="en-US" w:eastAsia="zh-CN"/>
        </w:rPr>
        <w:t>3</w:t>
      </w:r>
      <w:r>
        <w:rPr>
          <w:rFonts w:hint="eastAsia" w:ascii="仿宋_GB2312" w:hAnsi="仿宋_GB2312" w:eastAsia="仿宋_GB2312" w:cs="仿宋_GB2312"/>
          <w:snapToGrid w:val="0"/>
          <w:sz w:val="32"/>
          <w:szCs w:val="32"/>
        </w:rPr>
        <w:t>日-</w:t>
      </w:r>
      <w:r>
        <w:rPr>
          <w:rFonts w:hint="eastAsia" w:ascii="仿宋_GB2312" w:hAnsi="仿宋_GB2312" w:eastAsia="仿宋_GB2312" w:cs="仿宋_GB2312"/>
          <w:snapToGrid w:val="0"/>
          <w:sz w:val="32"/>
          <w:szCs w:val="32"/>
          <w:lang w:val="en-US" w:eastAsia="zh-CN"/>
        </w:rPr>
        <w:t>9</w:t>
      </w:r>
      <w:r>
        <w:rPr>
          <w:rFonts w:hint="eastAsia" w:ascii="仿宋_GB2312" w:hAnsi="仿宋_GB2312" w:eastAsia="仿宋_GB2312" w:cs="仿宋_GB2312"/>
          <w:snapToGrid w:val="0"/>
          <w:sz w:val="32"/>
          <w:szCs w:val="32"/>
        </w:rPr>
        <w:t>月</w:t>
      </w:r>
      <w:r>
        <w:rPr>
          <w:rFonts w:hint="eastAsia" w:ascii="仿宋_GB2312" w:hAnsi="仿宋_GB2312" w:eastAsia="仿宋_GB2312" w:cs="仿宋_GB2312"/>
          <w:snapToGrid w:val="0"/>
          <w:sz w:val="32"/>
          <w:szCs w:val="32"/>
          <w:lang w:val="en-US" w:eastAsia="zh-CN"/>
        </w:rPr>
        <w:t>13</w:t>
      </w:r>
      <w:r>
        <w:rPr>
          <w:rFonts w:hint="eastAsia" w:ascii="仿宋_GB2312" w:hAnsi="仿宋_GB2312" w:eastAsia="仿宋_GB2312" w:cs="仿宋_GB2312"/>
          <w:snapToGrid w:val="0"/>
          <w:sz w:val="32"/>
          <w:szCs w:val="32"/>
        </w:rPr>
        <w:t>日</w:t>
      </w:r>
      <w:r>
        <w:rPr>
          <w:rFonts w:hint="eastAsia" w:ascii="仿宋_GB2312" w:hAnsi="仿宋_GB2312" w:eastAsia="仿宋_GB2312" w:cs="仿宋_GB2312"/>
          <w:snapToGrid w:val="0"/>
          <w:sz w:val="32"/>
          <w:szCs w:val="32"/>
          <w:lang w:eastAsia="zh-CN"/>
        </w:rPr>
        <w:t>：</w:t>
      </w:r>
      <w:r>
        <w:rPr>
          <w:rFonts w:hint="eastAsia" w:ascii="仿宋_GB2312" w:hAnsi="仿宋_GB2312" w:eastAsia="仿宋_GB2312" w:cs="仿宋_GB2312"/>
          <w:snapToGrid w:val="0"/>
          <w:sz w:val="32"/>
          <w:szCs w:val="32"/>
        </w:rPr>
        <w:t>学生登</w:t>
      </w:r>
      <w:r>
        <w:rPr>
          <w:rFonts w:hint="eastAsia" w:ascii="仿宋_GB2312" w:hAnsi="仿宋_GB2312" w:eastAsia="仿宋_GB2312" w:cs="仿宋_GB2312"/>
          <w:snapToGrid w:val="0"/>
          <w:sz w:val="32"/>
          <w:szCs w:val="32"/>
          <w:lang w:val="en-US" w:eastAsia="zh-CN"/>
        </w:rPr>
        <w:t>录</w:t>
      </w:r>
      <w:r>
        <w:rPr>
          <w:rFonts w:hint="eastAsia" w:ascii="仿宋_GB2312" w:hAnsi="仿宋_GB2312" w:eastAsia="仿宋_GB2312" w:cs="仿宋_GB2312"/>
          <w:snapToGrid w:val="0"/>
          <w:sz w:val="32"/>
          <w:szCs w:val="32"/>
        </w:rPr>
        <w:t>教务管理系统申请，申请流程详见附件2。</w:t>
      </w:r>
    </w:p>
    <w:p w14:paraId="5ACD0E83">
      <w:pPr>
        <w:pStyle w:val="5"/>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640" w:firstLineChars="200"/>
        <w:textAlignment w:val="auto"/>
        <w:rPr>
          <w:rFonts w:ascii="仿宋_GB2312" w:hAnsi="仿宋_GB2312" w:eastAsia="仿宋_GB2312" w:cs="仿宋_GB2312"/>
          <w:snapToGrid w:val="0"/>
          <w:sz w:val="32"/>
          <w:szCs w:val="32"/>
        </w:rPr>
      </w:pPr>
      <w:r>
        <w:rPr>
          <w:rFonts w:hint="eastAsia" w:ascii="仿宋_GB2312" w:hAnsi="仿宋_GB2312" w:eastAsia="仿宋_GB2312" w:cs="仿宋_GB2312"/>
          <w:snapToGrid w:val="0"/>
          <w:sz w:val="32"/>
          <w:szCs w:val="32"/>
        </w:rPr>
        <w:t>2、</w:t>
      </w:r>
      <w:r>
        <w:rPr>
          <w:rFonts w:hint="eastAsia" w:ascii="仿宋_GB2312" w:hAnsi="仿宋_GB2312" w:eastAsia="仿宋_GB2312" w:cs="仿宋_GB2312"/>
          <w:snapToGrid w:val="0"/>
          <w:sz w:val="32"/>
          <w:szCs w:val="32"/>
          <w:lang w:val="en-US" w:eastAsia="zh-CN"/>
        </w:rPr>
        <w:t>9</w:t>
      </w:r>
      <w:r>
        <w:rPr>
          <w:rFonts w:hint="eastAsia" w:ascii="仿宋_GB2312" w:hAnsi="仿宋_GB2312" w:eastAsia="仿宋_GB2312" w:cs="仿宋_GB2312"/>
          <w:snapToGrid w:val="0"/>
          <w:sz w:val="32"/>
          <w:szCs w:val="32"/>
        </w:rPr>
        <w:t>月</w:t>
      </w:r>
      <w:r>
        <w:rPr>
          <w:rFonts w:hint="eastAsia" w:ascii="仿宋_GB2312" w:hAnsi="仿宋_GB2312" w:eastAsia="仿宋_GB2312" w:cs="仿宋_GB2312"/>
          <w:snapToGrid w:val="0"/>
          <w:sz w:val="32"/>
          <w:szCs w:val="32"/>
          <w:lang w:val="en-US" w:eastAsia="zh-CN"/>
        </w:rPr>
        <w:t>14</w:t>
      </w:r>
      <w:r>
        <w:rPr>
          <w:rFonts w:hint="eastAsia" w:ascii="仿宋_GB2312" w:hAnsi="仿宋_GB2312" w:eastAsia="仿宋_GB2312" w:cs="仿宋_GB2312"/>
          <w:snapToGrid w:val="0"/>
          <w:sz w:val="32"/>
          <w:szCs w:val="32"/>
        </w:rPr>
        <w:t>日-</w:t>
      </w:r>
      <w:r>
        <w:rPr>
          <w:rFonts w:hint="eastAsia" w:ascii="仿宋_GB2312" w:hAnsi="仿宋_GB2312" w:eastAsia="仿宋_GB2312" w:cs="仿宋_GB2312"/>
          <w:snapToGrid w:val="0"/>
          <w:sz w:val="32"/>
          <w:szCs w:val="32"/>
          <w:lang w:val="en-US" w:eastAsia="zh-CN"/>
        </w:rPr>
        <w:t>9</w:t>
      </w:r>
      <w:r>
        <w:rPr>
          <w:rFonts w:hint="eastAsia" w:ascii="仿宋_GB2312" w:hAnsi="仿宋_GB2312" w:eastAsia="仿宋_GB2312" w:cs="仿宋_GB2312"/>
          <w:snapToGrid w:val="0"/>
          <w:sz w:val="32"/>
          <w:szCs w:val="32"/>
        </w:rPr>
        <w:t>月1</w:t>
      </w:r>
      <w:r>
        <w:rPr>
          <w:rFonts w:hint="eastAsia" w:ascii="仿宋_GB2312" w:hAnsi="仿宋_GB2312" w:eastAsia="仿宋_GB2312" w:cs="仿宋_GB2312"/>
          <w:snapToGrid w:val="0"/>
          <w:sz w:val="32"/>
          <w:szCs w:val="32"/>
          <w:lang w:val="en-US" w:eastAsia="zh-CN"/>
        </w:rPr>
        <w:t>5</w:t>
      </w:r>
      <w:r>
        <w:rPr>
          <w:rFonts w:hint="eastAsia" w:ascii="仿宋_GB2312" w:hAnsi="仿宋_GB2312" w:eastAsia="仿宋_GB2312" w:cs="仿宋_GB2312"/>
          <w:snapToGrid w:val="0"/>
          <w:sz w:val="32"/>
          <w:szCs w:val="32"/>
        </w:rPr>
        <w:t>日</w:t>
      </w:r>
      <w:r>
        <w:rPr>
          <w:rFonts w:hint="eastAsia" w:ascii="仿宋_GB2312" w:hAnsi="仿宋_GB2312" w:eastAsia="仿宋_GB2312" w:cs="仿宋_GB2312"/>
          <w:snapToGrid w:val="0"/>
          <w:sz w:val="32"/>
          <w:szCs w:val="32"/>
          <w:lang w:eastAsia="zh-CN"/>
        </w:rPr>
        <w:t>：辅</w:t>
      </w:r>
      <w:r>
        <w:rPr>
          <w:rFonts w:hint="eastAsia" w:ascii="仿宋_GB2312" w:hAnsi="仿宋_GB2312" w:eastAsia="仿宋_GB2312" w:cs="仿宋_GB2312"/>
          <w:snapToGrid w:val="0"/>
          <w:sz w:val="32"/>
          <w:szCs w:val="32"/>
        </w:rPr>
        <w:t>修学院教科办登</w:t>
      </w:r>
      <w:r>
        <w:rPr>
          <w:rFonts w:hint="eastAsia" w:ascii="仿宋_GB2312" w:hAnsi="仿宋_GB2312" w:eastAsia="仿宋_GB2312" w:cs="仿宋_GB2312"/>
          <w:snapToGrid w:val="0"/>
          <w:sz w:val="32"/>
          <w:szCs w:val="32"/>
          <w:lang w:val="en-US" w:eastAsia="zh-CN"/>
        </w:rPr>
        <w:t>录</w:t>
      </w:r>
      <w:r>
        <w:rPr>
          <w:rFonts w:hint="eastAsia" w:ascii="仿宋_GB2312" w:hAnsi="仿宋_GB2312" w:eastAsia="仿宋_GB2312" w:cs="仿宋_GB2312"/>
          <w:snapToGrid w:val="0"/>
          <w:sz w:val="32"/>
          <w:szCs w:val="32"/>
        </w:rPr>
        <w:t>教务管理系统，对学生修读资格进行审查。</w:t>
      </w:r>
    </w:p>
    <w:p w14:paraId="156437D1">
      <w:pPr>
        <w:pStyle w:val="5"/>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640" w:firstLineChars="200"/>
        <w:textAlignment w:val="auto"/>
        <w:rPr>
          <w:rFonts w:ascii="仿宋_GB2312" w:hAnsi="仿宋_GB2312" w:eastAsia="仿宋_GB2312" w:cs="仿宋_GB2312"/>
          <w:snapToGrid w:val="0"/>
          <w:sz w:val="32"/>
          <w:szCs w:val="32"/>
        </w:rPr>
      </w:pPr>
      <w:r>
        <w:rPr>
          <w:rFonts w:hint="eastAsia" w:ascii="仿宋_GB2312" w:hAnsi="仿宋_GB2312" w:eastAsia="仿宋_GB2312" w:cs="仿宋_GB2312"/>
          <w:snapToGrid w:val="0"/>
          <w:sz w:val="32"/>
          <w:szCs w:val="32"/>
        </w:rPr>
        <w:t>3、</w:t>
      </w:r>
      <w:r>
        <w:rPr>
          <w:rFonts w:hint="eastAsia" w:ascii="仿宋_GB2312" w:hAnsi="仿宋_GB2312" w:eastAsia="仿宋_GB2312" w:cs="仿宋_GB2312"/>
          <w:snapToGrid w:val="0"/>
          <w:sz w:val="32"/>
          <w:szCs w:val="32"/>
          <w:lang w:val="en-US" w:eastAsia="zh-CN"/>
        </w:rPr>
        <w:t>9</w:t>
      </w:r>
      <w:r>
        <w:rPr>
          <w:rFonts w:hint="eastAsia" w:ascii="仿宋_GB2312" w:hAnsi="仿宋_GB2312" w:eastAsia="仿宋_GB2312" w:cs="仿宋_GB2312"/>
          <w:snapToGrid w:val="0"/>
          <w:sz w:val="32"/>
          <w:szCs w:val="32"/>
        </w:rPr>
        <w:t>月1</w:t>
      </w:r>
      <w:r>
        <w:rPr>
          <w:rFonts w:hint="eastAsia" w:ascii="仿宋_GB2312" w:hAnsi="仿宋_GB2312" w:eastAsia="仿宋_GB2312" w:cs="仿宋_GB2312"/>
          <w:snapToGrid w:val="0"/>
          <w:sz w:val="32"/>
          <w:szCs w:val="32"/>
          <w:lang w:val="en-US" w:eastAsia="zh-CN"/>
        </w:rPr>
        <w:t>6</w:t>
      </w:r>
      <w:r>
        <w:rPr>
          <w:rFonts w:hint="eastAsia" w:ascii="仿宋_GB2312" w:hAnsi="仿宋_GB2312" w:eastAsia="仿宋_GB2312" w:cs="仿宋_GB2312"/>
          <w:snapToGrid w:val="0"/>
          <w:sz w:val="32"/>
          <w:szCs w:val="32"/>
        </w:rPr>
        <w:t>日</w:t>
      </w:r>
      <w:r>
        <w:rPr>
          <w:rFonts w:hint="eastAsia" w:ascii="仿宋_GB2312" w:hAnsi="仿宋_GB2312" w:eastAsia="仿宋_GB2312" w:cs="仿宋_GB2312"/>
          <w:snapToGrid w:val="0"/>
          <w:sz w:val="32"/>
          <w:szCs w:val="32"/>
          <w:lang w:eastAsia="zh-CN"/>
        </w:rPr>
        <w:t>：</w:t>
      </w:r>
      <w:r>
        <w:rPr>
          <w:rFonts w:hint="eastAsia" w:ascii="仿宋_GB2312" w:hAnsi="仿宋_GB2312" w:eastAsia="仿宋_GB2312" w:cs="仿宋_GB2312"/>
          <w:snapToGrid w:val="0"/>
          <w:sz w:val="32"/>
          <w:szCs w:val="32"/>
        </w:rPr>
        <w:t>教务处对申请学生进行</w:t>
      </w:r>
      <w:r>
        <w:rPr>
          <w:rFonts w:hint="eastAsia" w:ascii="仿宋_GB2312" w:hAnsi="仿宋_GB2312" w:eastAsia="仿宋_GB2312" w:cs="仿宋_GB2312"/>
          <w:snapToGrid w:val="0"/>
          <w:sz w:val="32"/>
          <w:szCs w:val="32"/>
          <w:lang w:val="en-US" w:eastAsia="zh-CN"/>
        </w:rPr>
        <w:t>最终</w:t>
      </w:r>
      <w:r>
        <w:rPr>
          <w:rFonts w:hint="eastAsia" w:ascii="仿宋_GB2312" w:hAnsi="仿宋_GB2312" w:eastAsia="仿宋_GB2312" w:cs="仿宋_GB2312"/>
          <w:snapToGrid w:val="0"/>
          <w:sz w:val="32"/>
          <w:szCs w:val="32"/>
        </w:rPr>
        <w:t>审核，并将拟录取名单予以公示。</w:t>
      </w:r>
    </w:p>
    <w:p w14:paraId="330338F6">
      <w:pPr>
        <w:pStyle w:val="5"/>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640" w:firstLineChars="200"/>
        <w:textAlignment w:val="auto"/>
        <w:rPr>
          <w:rFonts w:ascii="仿宋_GB2312" w:hAnsi="仿宋_GB2312" w:eastAsia="仿宋_GB2312" w:cs="仿宋_GB2312"/>
          <w:snapToGrid w:val="0"/>
          <w:sz w:val="32"/>
          <w:szCs w:val="32"/>
        </w:rPr>
      </w:pPr>
      <w:r>
        <w:rPr>
          <w:rFonts w:hint="eastAsia" w:ascii="仿宋_GB2312" w:hAnsi="仿宋_GB2312" w:eastAsia="仿宋_GB2312" w:cs="仿宋_GB2312"/>
          <w:snapToGrid w:val="0"/>
          <w:sz w:val="32"/>
          <w:szCs w:val="32"/>
        </w:rPr>
        <w:t>4、</w:t>
      </w:r>
      <w:r>
        <w:rPr>
          <w:rFonts w:hint="eastAsia" w:ascii="仿宋_GB2312" w:hAnsi="仿宋_GB2312" w:eastAsia="仿宋_GB2312" w:cs="仿宋_GB2312"/>
          <w:snapToGrid w:val="0"/>
          <w:sz w:val="32"/>
          <w:szCs w:val="32"/>
          <w:lang w:val="en-US" w:eastAsia="zh-CN"/>
        </w:rPr>
        <w:t>9</w:t>
      </w:r>
      <w:r>
        <w:rPr>
          <w:rFonts w:hint="eastAsia" w:ascii="仿宋_GB2312" w:hAnsi="仿宋_GB2312" w:eastAsia="仿宋_GB2312" w:cs="仿宋_GB2312"/>
          <w:snapToGrid w:val="0"/>
          <w:sz w:val="32"/>
          <w:szCs w:val="32"/>
        </w:rPr>
        <w:t>月</w:t>
      </w:r>
      <w:r>
        <w:rPr>
          <w:rFonts w:hint="eastAsia" w:ascii="仿宋_GB2312" w:hAnsi="仿宋_GB2312" w:eastAsia="仿宋_GB2312" w:cs="仿宋_GB2312"/>
          <w:snapToGrid w:val="0"/>
          <w:sz w:val="32"/>
          <w:szCs w:val="32"/>
          <w:lang w:val="en-US" w:eastAsia="zh-CN"/>
        </w:rPr>
        <w:t>17日-9月18</w:t>
      </w:r>
      <w:r>
        <w:rPr>
          <w:rFonts w:hint="eastAsia" w:ascii="仿宋_GB2312" w:hAnsi="仿宋_GB2312" w:eastAsia="仿宋_GB2312" w:cs="仿宋_GB2312"/>
          <w:snapToGrid w:val="0"/>
          <w:sz w:val="32"/>
          <w:szCs w:val="32"/>
        </w:rPr>
        <w:t>日</w:t>
      </w:r>
      <w:r>
        <w:rPr>
          <w:rFonts w:hint="eastAsia" w:ascii="仿宋_GB2312" w:hAnsi="仿宋_GB2312" w:eastAsia="仿宋_GB2312" w:cs="仿宋_GB2312"/>
          <w:snapToGrid w:val="0"/>
          <w:sz w:val="32"/>
          <w:szCs w:val="32"/>
          <w:lang w:eastAsia="zh-CN"/>
        </w:rPr>
        <w:t>：辅修学院完成课程安排、学费缴纳明细等相关工作</w:t>
      </w:r>
      <w:r>
        <w:rPr>
          <w:rFonts w:hint="eastAsia" w:ascii="仿宋_GB2312" w:hAnsi="仿宋_GB2312" w:eastAsia="仿宋_GB2312" w:cs="仿宋_GB2312"/>
          <w:snapToGrid w:val="0"/>
          <w:sz w:val="32"/>
          <w:szCs w:val="32"/>
        </w:rPr>
        <w:t>。</w:t>
      </w:r>
    </w:p>
    <w:p w14:paraId="65427114">
      <w:pPr>
        <w:pStyle w:val="5"/>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640" w:firstLineChars="200"/>
        <w:textAlignment w:val="auto"/>
        <w:rPr>
          <w:rFonts w:ascii="仿宋_GB2312" w:hAnsi="仿宋_GB2312" w:eastAsia="仿宋_GB2312" w:cs="仿宋_GB2312"/>
          <w:snapToGrid w:val="0"/>
          <w:sz w:val="32"/>
          <w:szCs w:val="32"/>
        </w:rPr>
      </w:pPr>
      <w:r>
        <w:rPr>
          <w:rFonts w:hint="eastAsia" w:ascii="仿宋_GB2312" w:hAnsi="仿宋_GB2312" w:eastAsia="仿宋_GB2312" w:cs="仿宋_GB2312"/>
          <w:snapToGrid w:val="0"/>
          <w:sz w:val="32"/>
          <w:szCs w:val="32"/>
        </w:rPr>
        <w:t>三、课程修读要求</w:t>
      </w:r>
    </w:p>
    <w:p w14:paraId="07305206">
      <w:pPr>
        <w:pStyle w:val="5"/>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640" w:firstLineChars="200"/>
        <w:textAlignment w:val="auto"/>
        <w:rPr>
          <w:rFonts w:ascii="仿宋_GB2312" w:hAnsi="仿宋_GB2312" w:eastAsia="仿宋_GB2312" w:cs="仿宋_GB2312"/>
          <w:snapToGrid w:val="0"/>
          <w:sz w:val="32"/>
          <w:szCs w:val="32"/>
        </w:rPr>
      </w:pPr>
      <w:r>
        <w:rPr>
          <w:rFonts w:hint="eastAsia" w:ascii="仿宋_GB2312" w:hAnsi="仿宋_GB2312" w:eastAsia="仿宋_GB2312" w:cs="仿宋_GB2312"/>
          <w:snapToGrid w:val="0"/>
          <w:sz w:val="32"/>
          <w:szCs w:val="32"/>
        </w:rPr>
        <w:t>1、授课时间原则上安排在假期（含双休日）和晚上，可单独编班，也可编入辅修学院相应的主修专业教学班。</w:t>
      </w:r>
    </w:p>
    <w:p w14:paraId="63274E08">
      <w:pPr>
        <w:pStyle w:val="5"/>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640" w:firstLineChars="200"/>
        <w:textAlignment w:val="auto"/>
        <w:rPr>
          <w:rFonts w:ascii="仿宋_GB2312" w:hAnsi="仿宋_GB2312" w:eastAsia="仿宋_GB2312" w:cs="仿宋_GB2312"/>
          <w:snapToGrid w:val="0"/>
          <w:sz w:val="32"/>
          <w:szCs w:val="32"/>
        </w:rPr>
      </w:pPr>
      <w:r>
        <w:rPr>
          <w:rFonts w:hint="eastAsia" w:ascii="仿宋_GB2312" w:hAnsi="仿宋_GB2312" w:eastAsia="仿宋_GB2312" w:cs="仿宋_GB2312"/>
          <w:snapToGrid w:val="0"/>
          <w:sz w:val="32"/>
          <w:szCs w:val="32"/>
        </w:rPr>
        <w:t>2、对课程性质、课程要求相同的同一门课程，学生在主修专业取得学分后，可提出免修申请，经辅修学院分管教学领导批准后，可予免修。</w:t>
      </w:r>
    </w:p>
    <w:p w14:paraId="0A39839C">
      <w:pPr>
        <w:pStyle w:val="5"/>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640" w:firstLineChars="200"/>
        <w:textAlignment w:val="auto"/>
        <w:rPr>
          <w:rFonts w:ascii="仿宋_GB2312" w:hAnsi="仿宋_GB2312" w:eastAsia="仿宋_GB2312" w:cs="仿宋_GB2312"/>
          <w:snapToGrid w:val="0"/>
          <w:sz w:val="32"/>
          <w:szCs w:val="32"/>
        </w:rPr>
      </w:pPr>
      <w:r>
        <w:rPr>
          <w:rFonts w:hint="eastAsia" w:ascii="仿宋_GB2312" w:hAnsi="仿宋_GB2312" w:eastAsia="仿宋_GB2312" w:cs="仿宋_GB2312"/>
          <w:snapToGrid w:val="0"/>
          <w:sz w:val="32"/>
          <w:szCs w:val="32"/>
        </w:rPr>
        <w:t>3、学生可以提前或延后修读若干课程，但规定有先修课程的，必须取得先修课程学分，方可修读后续课程。</w:t>
      </w:r>
    </w:p>
    <w:p w14:paraId="51454ED3">
      <w:pPr>
        <w:pStyle w:val="5"/>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640" w:firstLineChars="200"/>
        <w:textAlignment w:val="auto"/>
        <w:rPr>
          <w:rFonts w:ascii="仿宋_GB2312" w:hAnsi="仿宋_GB2312" w:eastAsia="仿宋_GB2312" w:cs="仿宋_GB2312"/>
          <w:snapToGrid w:val="0"/>
          <w:sz w:val="32"/>
          <w:szCs w:val="32"/>
        </w:rPr>
      </w:pPr>
      <w:r>
        <w:rPr>
          <w:rFonts w:hint="eastAsia" w:ascii="仿宋_GB2312" w:hAnsi="仿宋_GB2312" w:eastAsia="仿宋_GB2312" w:cs="仿宋_GB2312"/>
          <w:snapToGrid w:val="0"/>
          <w:sz w:val="32"/>
          <w:szCs w:val="32"/>
        </w:rPr>
        <w:t>4、学生修读辅修专业与主修专业的教学安排发生冲突时，应优先保证主修专业的教学安排。</w:t>
      </w:r>
    </w:p>
    <w:p w14:paraId="6C6AC5FF">
      <w:pPr>
        <w:pStyle w:val="5"/>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640" w:firstLineChars="200"/>
        <w:textAlignment w:val="auto"/>
        <w:rPr>
          <w:rFonts w:ascii="仿宋_GB2312" w:hAnsi="仿宋_GB2312" w:eastAsia="仿宋_GB2312" w:cs="仿宋_GB2312"/>
          <w:snapToGrid w:val="0"/>
          <w:sz w:val="32"/>
          <w:szCs w:val="32"/>
        </w:rPr>
      </w:pPr>
      <w:r>
        <w:rPr>
          <w:rFonts w:hint="eastAsia" w:ascii="仿宋_GB2312" w:hAnsi="仿宋_GB2312" w:eastAsia="仿宋_GB2312" w:cs="仿宋_GB2312"/>
          <w:snapToGrid w:val="0"/>
          <w:sz w:val="32"/>
          <w:szCs w:val="32"/>
        </w:rPr>
        <w:t>5、未办理修读手续而参加听课和考试（考核）者，成绩无效。</w:t>
      </w:r>
    </w:p>
    <w:p w14:paraId="5186DBC9">
      <w:pPr>
        <w:pStyle w:val="5"/>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640" w:firstLineChars="200"/>
        <w:textAlignment w:val="auto"/>
        <w:rPr>
          <w:rFonts w:ascii="仿宋_GB2312" w:hAnsi="仿宋_GB2312" w:eastAsia="仿宋_GB2312" w:cs="仿宋_GB2312"/>
          <w:snapToGrid w:val="0"/>
          <w:sz w:val="32"/>
          <w:szCs w:val="32"/>
        </w:rPr>
      </w:pPr>
      <w:r>
        <w:rPr>
          <w:rFonts w:hint="eastAsia" w:ascii="仿宋_GB2312" w:hAnsi="仿宋_GB2312" w:eastAsia="仿宋_GB2312" w:cs="仿宋_GB2312"/>
          <w:snapToGrid w:val="0"/>
          <w:sz w:val="32"/>
          <w:szCs w:val="32"/>
        </w:rPr>
        <w:t>6、学生修读辅修专业期间，每学期有两门及两门以上主修专业课程重修，暂停其辅修专业的学习资格，待主修专业重修课程考核通过后再申请继续修读。</w:t>
      </w:r>
    </w:p>
    <w:p w14:paraId="42D93189">
      <w:pPr>
        <w:pStyle w:val="5"/>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640" w:firstLineChars="200"/>
        <w:textAlignment w:val="auto"/>
        <w:rPr>
          <w:rFonts w:ascii="仿宋_GB2312" w:hAnsi="仿宋_GB2312" w:eastAsia="仿宋_GB2312" w:cs="仿宋_GB2312"/>
          <w:snapToGrid w:val="0"/>
          <w:sz w:val="32"/>
          <w:szCs w:val="32"/>
        </w:rPr>
      </w:pPr>
      <w:r>
        <w:rPr>
          <w:rFonts w:hint="eastAsia" w:ascii="仿宋_GB2312" w:hAnsi="仿宋_GB2312" w:eastAsia="仿宋_GB2312" w:cs="仿宋_GB2312"/>
          <w:snapToGrid w:val="0"/>
          <w:sz w:val="32"/>
          <w:szCs w:val="32"/>
        </w:rPr>
        <w:t>7、所有辅修课程合格且达到毕业要求的，方可申请辅修毕业证书。</w:t>
      </w:r>
    </w:p>
    <w:p w14:paraId="2542A3E1">
      <w:pPr>
        <w:pStyle w:val="5"/>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640" w:firstLineChars="200"/>
        <w:textAlignment w:val="auto"/>
        <w:rPr>
          <w:rFonts w:ascii="仿宋_GB2312" w:hAnsi="仿宋_GB2312" w:eastAsia="仿宋_GB2312" w:cs="仿宋_GB2312"/>
          <w:snapToGrid w:val="0"/>
          <w:sz w:val="32"/>
          <w:szCs w:val="32"/>
        </w:rPr>
      </w:pPr>
      <w:r>
        <w:rPr>
          <w:rFonts w:hint="eastAsia" w:ascii="仿宋_GB2312" w:hAnsi="仿宋_GB2312" w:eastAsia="仿宋_GB2312" w:cs="仿宋_GB2312"/>
          <w:snapToGrid w:val="0"/>
          <w:sz w:val="32"/>
          <w:szCs w:val="32"/>
          <w:lang w:val="en-US" w:eastAsia="zh-CN"/>
        </w:rPr>
        <w:t>8</w:t>
      </w:r>
      <w:r>
        <w:rPr>
          <w:rFonts w:hint="eastAsia" w:ascii="仿宋_GB2312" w:hAnsi="仿宋_GB2312" w:eastAsia="仿宋_GB2312" w:cs="仿宋_GB2312"/>
          <w:snapToGrid w:val="0"/>
          <w:sz w:val="32"/>
          <w:szCs w:val="32"/>
        </w:rPr>
        <w:t>、辅修专业（学位）的学习年限以主修专业规定学习年限为准，超</w:t>
      </w:r>
      <w:r>
        <w:rPr>
          <w:rFonts w:hint="eastAsia" w:ascii="仿宋_GB2312" w:hAnsi="仿宋_GB2312" w:eastAsia="仿宋_GB2312" w:cs="仿宋_GB2312"/>
          <w:snapToGrid w:val="0"/>
          <w:sz w:val="32"/>
          <w:szCs w:val="32"/>
          <w:lang w:val="en-US" w:eastAsia="zh-CN"/>
        </w:rPr>
        <w:t>出</w:t>
      </w:r>
      <w:r>
        <w:rPr>
          <w:rFonts w:hint="eastAsia" w:ascii="仿宋_GB2312" w:hAnsi="仿宋_GB2312" w:eastAsia="仿宋_GB2312" w:cs="仿宋_GB2312"/>
          <w:snapToGrid w:val="0"/>
          <w:sz w:val="32"/>
          <w:szCs w:val="32"/>
        </w:rPr>
        <w:t>者</w:t>
      </w:r>
      <w:r>
        <w:rPr>
          <w:rFonts w:hint="eastAsia" w:ascii="仿宋_GB2312" w:hAnsi="仿宋_GB2312" w:eastAsia="仿宋_GB2312" w:cs="仿宋_GB2312"/>
          <w:snapToGrid w:val="0"/>
          <w:sz w:val="32"/>
          <w:szCs w:val="32"/>
          <w:lang w:val="en-US" w:eastAsia="zh-CN"/>
        </w:rPr>
        <w:t>将</w:t>
      </w:r>
      <w:r>
        <w:rPr>
          <w:rFonts w:hint="eastAsia" w:ascii="仿宋_GB2312" w:hAnsi="仿宋_GB2312" w:eastAsia="仿宋_GB2312" w:cs="仿宋_GB2312"/>
          <w:snapToGrid w:val="0"/>
          <w:sz w:val="32"/>
          <w:szCs w:val="32"/>
        </w:rPr>
        <w:t>终止辅修专业（学位）修读资格。</w:t>
      </w:r>
    </w:p>
    <w:p w14:paraId="2CB202A0">
      <w:pPr>
        <w:pStyle w:val="5"/>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640" w:firstLineChars="200"/>
        <w:textAlignment w:val="auto"/>
        <w:rPr>
          <w:rFonts w:ascii="仿宋_GB2312" w:hAnsi="仿宋_GB2312" w:eastAsia="仿宋_GB2312" w:cs="仿宋_GB2312"/>
          <w:snapToGrid w:val="0"/>
          <w:sz w:val="32"/>
          <w:szCs w:val="32"/>
        </w:rPr>
      </w:pPr>
      <w:r>
        <w:rPr>
          <w:rFonts w:hint="eastAsia" w:ascii="仿宋_GB2312" w:hAnsi="仿宋_GB2312" w:eastAsia="仿宋_GB2312" w:cs="仿宋_GB2312"/>
          <w:snapToGrid w:val="0"/>
          <w:sz w:val="32"/>
          <w:szCs w:val="32"/>
        </w:rPr>
        <w:t>四、其他说明</w:t>
      </w:r>
    </w:p>
    <w:p w14:paraId="1BD243ED">
      <w:pPr>
        <w:pStyle w:val="5"/>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640" w:firstLineChars="200"/>
        <w:textAlignment w:val="auto"/>
        <w:rPr>
          <w:rFonts w:ascii="仿宋_GB2312" w:hAnsi="仿宋_GB2312" w:eastAsia="仿宋_GB2312" w:cs="仿宋_GB2312"/>
          <w:snapToGrid w:val="0"/>
          <w:sz w:val="32"/>
          <w:szCs w:val="32"/>
        </w:rPr>
      </w:pPr>
      <w:r>
        <w:rPr>
          <w:rFonts w:hint="eastAsia" w:ascii="仿宋_GB2312" w:hAnsi="仿宋_GB2312" w:eastAsia="仿宋_GB2312" w:cs="仿宋_GB2312"/>
          <w:snapToGrid w:val="0"/>
          <w:sz w:val="32"/>
          <w:szCs w:val="32"/>
        </w:rPr>
        <w:t>1、修读辅修专业按学分收取学费，收费标准按75元/学分执行。</w:t>
      </w:r>
    </w:p>
    <w:p w14:paraId="44B54C65">
      <w:pPr>
        <w:pStyle w:val="5"/>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640" w:firstLineChars="200"/>
        <w:textAlignment w:val="auto"/>
        <w:rPr>
          <w:rFonts w:hint="eastAsia" w:ascii="仿宋_GB2312" w:hAnsi="仿宋_GB2312" w:eastAsia="仿宋_GB2312" w:cs="仿宋_GB2312"/>
          <w:snapToGrid w:val="0"/>
          <w:sz w:val="32"/>
          <w:szCs w:val="32"/>
        </w:rPr>
      </w:pPr>
      <w:r>
        <w:rPr>
          <w:rFonts w:hint="eastAsia" w:ascii="仿宋_GB2312" w:hAnsi="仿宋_GB2312" w:eastAsia="仿宋_GB2312" w:cs="仿宋_GB2312"/>
          <w:snapToGrid w:val="0"/>
          <w:sz w:val="32"/>
          <w:szCs w:val="32"/>
        </w:rPr>
        <w:t>2、辅修专业学生的日常管理遵照《武夷学院学生管理实施细则》和《武夷学院辅修专业教育管理实施办法》执行。</w:t>
      </w:r>
    </w:p>
    <w:p w14:paraId="571FFCA4">
      <w:pPr>
        <w:pStyle w:val="5"/>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640" w:firstLineChars="200"/>
        <w:textAlignment w:val="auto"/>
        <w:rPr>
          <w:rFonts w:hint="default" w:ascii="仿宋_GB2312" w:hAnsi="仿宋_GB2312" w:eastAsia="仿宋_GB2312" w:cs="仿宋_GB2312"/>
          <w:snapToGrid w:val="0"/>
          <w:sz w:val="32"/>
          <w:szCs w:val="32"/>
          <w:lang w:val="en-US" w:eastAsia="zh-CN"/>
        </w:rPr>
      </w:pPr>
    </w:p>
    <w:p w14:paraId="7DC5E107">
      <w:pPr>
        <w:pStyle w:val="5"/>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640" w:firstLineChars="200"/>
        <w:textAlignment w:val="auto"/>
        <w:rPr>
          <w:rFonts w:ascii="仿宋_GB2312" w:hAnsi="仿宋_GB2312" w:eastAsia="仿宋_GB2312" w:cs="仿宋_GB2312"/>
          <w:snapToGrid w:val="0"/>
          <w:sz w:val="32"/>
          <w:szCs w:val="32"/>
        </w:rPr>
      </w:pPr>
      <w:r>
        <w:rPr>
          <w:rFonts w:hint="eastAsia" w:ascii="仿宋_GB2312" w:hAnsi="仿宋_GB2312" w:eastAsia="仿宋_GB2312" w:cs="仿宋_GB2312"/>
          <w:snapToGrid w:val="0"/>
          <w:sz w:val="32"/>
          <w:szCs w:val="32"/>
        </w:rPr>
        <w:t>联系人：罗老师 电话：0599-5136575</w:t>
      </w:r>
    </w:p>
    <w:p w14:paraId="266652D6">
      <w:pPr>
        <w:pStyle w:val="5"/>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5760" w:firstLineChars="1800"/>
        <w:textAlignment w:val="auto"/>
        <w:rPr>
          <w:rFonts w:ascii="仿宋_GB2312" w:hAnsi="仿宋_GB2312" w:eastAsia="仿宋_GB2312" w:cs="仿宋_GB2312"/>
          <w:snapToGrid w:val="0"/>
          <w:sz w:val="32"/>
          <w:szCs w:val="32"/>
        </w:rPr>
      </w:pPr>
    </w:p>
    <w:p w14:paraId="0680F1D2">
      <w:pPr>
        <w:pStyle w:val="5"/>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5760" w:firstLineChars="1800"/>
        <w:textAlignment w:val="auto"/>
        <w:rPr>
          <w:rFonts w:ascii="仿宋_GB2312" w:hAnsi="仿宋_GB2312" w:eastAsia="仿宋_GB2312" w:cs="仿宋_GB2312"/>
          <w:snapToGrid w:val="0"/>
          <w:sz w:val="32"/>
          <w:szCs w:val="32"/>
        </w:rPr>
      </w:pPr>
      <w:r>
        <w:rPr>
          <w:rFonts w:hint="eastAsia" w:ascii="仿宋_GB2312" w:hAnsi="仿宋_GB2312" w:eastAsia="仿宋_GB2312" w:cs="仿宋_GB2312"/>
          <w:snapToGrid w:val="0"/>
          <w:sz w:val="32"/>
          <w:szCs w:val="32"/>
        </w:rPr>
        <w:t>教务处</w:t>
      </w:r>
    </w:p>
    <w:p w14:paraId="71403C5C">
      <w:pPr>
        <w:pStyle w:val="5"/>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5120" w:firstLineChars="1600"/>
        <w:textAlignment w:val="auto"/>
        <w:rPr>
          <w:rFonts w:ascii="仿宋_GB2312" w:hAnsi="仿宋_GB2312" w:eastAsia="仿宋_GB2312" w:cs="仿宋_GB2312"/>
          <w:snapToGrid w:val="0"/>
          <w:sz w:val="32"/>
          <w:szCs w:val="32"/>
        </w:rPr>
      </w:pPr>
      <w:r>
        <w:rPr>
          <w:rFonts w:hint="eastAsia" w:ascii="仿宋_GB2312" w:hAnsi="仿宋_GB2312" w:eastAsia="仿宋_GB2312" w:cs="仿宋_GB2312"/>
          <w:snapToGrid w:val="0"/>
          <w:sz w:val="32"/>
          <w:szCs w:val="32"/>
        </w:rPr>
        <w:t>202</w:t>
      </w:r>
      <w:r>
        <w:rPr>
          <w:rFonts w:hint="eastAsia" w:ascii="仿宋_GB2312" w:hAnsi="仿宋_GB2312" w:eastAsia="仿宋_GB2312" w:cs="仿宋_GB2312"/>
          <w:snapToGrid w:val="0"/>
          <w:sz w:val="32"/>
          <w:szCs w:val="32"/>
          <w:lang w:val="en-US" w:eastAsia="zh-CN"/>
        </w:rPr>
        <w:t>6</w:t>
      </w:r>
      <w:r>
        <w:rPr>
          <w:rFonts w:hint="eastAsia" w:ascii="仿宋_GB2312" w:hAnsi="仿宋_GB2312" w:eastAsia="仿宋_GB2312" w:cs="仿宋_GB2312"/>
          <w:snapToGrid w:val="0"/>
          <w:sz w:val="32"/>
          <w:szCs w:val="32"/>
        </w:rPr>
        <w:t>年</w:t>
      </w:r>
      <w:r>
        <w:rPr>
          <w:rFonts w:hint="eastAsia" w:ascii="仿宋_GB2312" w:hAnsi="仿宋_GB2312" w:eastAsia="仿宋_GB2312" w:cs="仿宋_GB2312"/>
          <w:snapToGrid w:val="0"/>
          <w:sz w:val="32"/>
          <w:szCs w:val="32"/>
          <w:lang w:val="en-US" w:eastAsia="zh-CN"/>
        </w:rPr>
        <w:t>9</w:t>
      </w:r>
      <w:r>
        <w:rPr>
          <w:rFonts w:hint="eastAsia" w:ascii="仿宋_GB2312" w:hAnsi="仿宋_GB2312" w:eastAsia="仿宋_GB2312" w:cs="仿宋_GB2312"/>
          <w:snapToGrid w:val="0"/>
          <w:sz w:val="32"/>
          <w:szCs w:val="32"/>
        </w:rPr>
        <w:t>月</w:t>
      </w:r>
      <w:r>
        <w:rPr>
          <w:rFonts w:hint="eastAsia" w:ascii="仿宋_GB2312" w:hAnsi="仿宋_GB2312" w:eastAsia="仿宋_GB2312" w:cs="仿宋_GB2312"/>
          <w:snapToGrid w:val="0"/>
          <w:sz w:val="32"/>
          <w:szCs w:val="32"/>
          <w:lang w:val="en-US" w:eastAsia="zh-CN"/>
        </w:rPr>
        <w:t>3</w:t>
      </w:r>
      <w:r>
        <w:rPr>
          <w:rFonts w:hint="eastAsia" w:ascii="仿宋_GB2312" w:hAnsi="仿宋_GB2312" w:eastAsia="仿宋_GB2312" w:cs="仿宋_GB2312"/>
          <w:snapToGrid w:val="0"/>
          <w:sz w:val="32"/>
          <w:szCs w:val="32"/>
        </w:rPr>
        <w:t>日</w:t>
      </w:r>
    </w:p>
    <w:p w14:paraId="5CBFE89A">
      <w:pPr>
        <w:pStyle w:val="5"/>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5120" w:firstLineChars="1600"/>
        <w:textAlignment w:val="auto"/>
        <w:rPr>
          <w:rFonts w:ascii="仿宋_GB2312" w:hAnsi="仿宋_GB2312" w:eastAsia="仿宋_GB2312" w:cs="仿宋_GB2312"/>
          <w:snapToGrid w:val="0"/>
          <w:sz w:val="32"/>
          <w:szCs w:val="32"/>
        </w:rPr>
      </w:pPr>
    </w:p>
    <w:p w14:paraId="54C3007F">
      <w:pPr>
        <w:pStyle w:val="5"/>
        <w:keepNext w:val="0"/>
        <w:keepLines w:val="0"/>
        <w:pageBreakBefore w:val="0"/>
        <w:widowControl/>
        <w:kinsoku/>
        <w:wordWrap/>
        <w:overflowPunct/>
        <w:topLinePunct w:val="0"/>
        <w:autoSpaceDE/>
        <w:autoSpaceDN/>
        <w:bidi w:val="0"/>
        <w:adjustRightInd/>
        <w:snapToGrid w:val="0"/>
        <w:spacing w:beforeAutospacing="0" w:afterAutospacing="0" w:line="520" w:lineRule="exact"/>
        <w:textAlignment w:val="auto"/>
        <w:rPr>
          <w:rFonts w:ascii="仿宋_GB2312" w:hAnsi="仿宋_GB2312" w:eastAsia="仿宋_GB2312" w:cs="仿宋_GB2312"/>
          <w:snapToGrid w:val="0"/>
          <w:sz w:val="32"/>
          <w:szCs w:val="32"/>
        </w:rPr>
      </w:pPr>
      <w:r>
        <w:rPr>
          <w:rFonts w:hint="eastAsia" w:ascii="仿宋_GB2312" w:hAnsi="仿宋_GB2312" w:eastAsia="仿宋_GB2312" w:cs="仿宋_GB2312"/>
          <w:snapToGrid w:val="0"/>
          <w:sz w:val="32"/>
          <w:szCs w:val="32"/>
        </w:rPr>
        <w:t>附件：1.</w:t>
      </w:r>
      <w:r>
        <w:rPr>
          <w:rFonts w:hint="eastAsia" w:ascii="微软雅黑" w:hAnsi="微软雅黑" w:eastAsia="微软雅黑" w:cs="微软雅黑"/>
          <w:snapToGrid w:val="0"/>
          <w:sz w:val="32"/>
          <w:szCs w:val="32"/>
        </w:rPr>
        <w:t>《</w:t>
      </w:r>
      <w:r>
        <w:rPr>
          <w:rFonts w:hint="eastAsia" w:ascii="仿宋_GB2312" w:hAnsi="仿宋_GB2312" w:eastAsia="仿宋_GB2312" w:cs="仿宋_GB2312"/>
          <w:snapToGrid w:val="0"/>
          <w:sz w:val="32"/>
          <w:szCs w:val="32"/>
        </w:rPr>
        <w:t>武夷学院辅修专业教育管理实施办法</w:t>
      </w:r>
      <w:r>
        <w:rPr>
          <w:rFonts w:hint="eastAsia" w:ascii="微软雅黑" w:hAnsi="微软雅黑" w:eastAsia="微软雅黑" w:cs="微软雅黑"/>
          <w:snapToGrid w:val="0"/>
          <w:sz w:val="32"/>
          <w:szCs w:val="32"/>
        </w:rPr>
        <w:t>》</w:t>
      </w:r>
      <w:r>
        <w:rPr>
          <w:rFonts w:hint="eastAsia" w:ascii="仿宋_GB2312" w:hAnsi="仿宋_GB2312" w:eastAsia="仿宋_GB2312" w:cs="仿宋_GB2312"/>
          <w:snapToGrid w:val="0"/>
          <w:sz w:val="32"/>
          <w:szCs w:val="32"/>
        </w:rPr>
        <w:t>武院综〔2023〕号</w:t>
      </w:r>
    </w:p>
    <w:p w14:paraId="1AC50FAB">
      <w:pPr>
        <w:pStyle w:val="5"/>
        <w:keepNext w:val="0"/>
        <w:keepLines w:val="0"/>
        <w:pageBreakBefore w:val="0"/>
        <w:widowControl/>
        <w:kinsoku/>
        <w:wordWrap/>
        <w:overflowPunct/>
        <w:topLinePunct w:val="0"/>
        <w:autoSpaceDE/>
        <w:autoSpaceDN/>
        <w:bidi w:val="0"/>
        <w:adjustRightInd/>
        <w:snapToGrid w:val="0"/>
        <w:spacing w:beforeAutospacing="0" w:afterAutospacing="0" w:line="520" w:lineRule="exact"/>
        <w:ind w:left="960"/>
        <w:textAlignment w:val="auto"/>
        <w:rPr>
          <w:rFonts w:hint="eastAsia" w:ascii="仿宋_GB2312" w:hAnsi="仿宋_GB2312" w:eastAsia="仿宋_GB2312" w:cs="仿宋_GB2312"/>
          <w:snapToGrid w:val="0"/>
          <w:sz w:val="32"/>
          <w:szCs w:val="32"/>
        </w:rPr>
      </w:pPr>
      <w:r>
        <w:rPr>
          <w:rFonts w:hint="eastAsia" w:ascii="仿宋_GB2312" w:hAnsi="仿宋_GB2312" w:eastAsia="仿宋_GB2312" w:cs="仿宋_GB2312"/>
          <w:snapToGrid w:val="0"/>
          <w:sz w:val="32"/>
          <w:szCs w:val="32"/>
        </w:rPr>
        <w:t>2.辅修报名操作流程</w:t>
      </w:r>
    </w:p>
    <w:p w14:paraId="1A4B8C97">
      <w:pPr>
        <w:pStyle w:val="5"/>
        <w:keepNext w:val="0"/>
        <w:keepLines w:val="0"/>
        <w:pageBreakBefore w:val="0"/>
        <w:widowControl/>
        <w:kinsoku/>
        <w:wordWrap/>
        <w:overflowPunct/>
        <w:topLinePunct w:val="0"/>
        <w:autoSpaceDE/>
        <w:autoSpaceDN/>
        <w:bidi w:val="0"/>
        <w:adjustRightInd/>
        <w:snapToGrid w:val="0"/>
        <w:spacing w:beforeAutospacing="0" w:afterAutospacing="0" w:line="520" w:lineRule="exact"/>
        <w:ind w:left="960"/>
        <w:textAlignment w:val="auto"/>
        <w:rPr>
          <w:rFonts w:hint="default" w:ascii="仿宋_GB2312" w:hAnsi="仿宋_GB2312" w:eastAsia="仿宋_GB2312" w:cs="仿宋_GB2312"/>
          <w:snapToGrid w:val="0"/>
          <w:sz w:val="32"/>
          <w:szCs w:val="32"/>
          <w:lang w:val="en-US" w:eastAsia="zh-CN"/>
        </w:rPr>
      </w:pPr>
      <w:r>
        <w:rPr>
          <w:rFonts w:hint="eastAsia" w:ascii="仿宋_GB2312" w:hAnsi="仿宋_GB2312" w:eastAsia="仿宋_GB2312" w:cs="仿宋_GB2312"/>
          <w:snapToGrid w:val="0"/>
          <w:sz w:val="32"/>
          <w:szCs w:val="32"/>
          <w:lang w:val="en-US" w:eastAsia="zh-CN"/>
        </w:rPr>
        <w:t>3.辅修开设专业修读要求与教学安排</w:t>
      </w:r>
    </w:p>
    <w:sectPr>
      <w:pgSz w:w="11906" w:h="16838"/>
      <w:pgMar w:top="2098" w:right="1474" w:bottom="1984" w:left="158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decorative"/>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JiNWE3OWYyOWZiZWFlMDU3YzZiM2FhN2ZlMDUwMzcifQ=="/>
  </w:docVars>
  <w:rsids>
    <w:rsidRoot w:val="7DE50B91"/>
    <w:rsid w:val="00075E3F"/>
    <w:rsid w:val="00437CDC"/>
    <w:rsid w:val="008F1617"/>
    <w:rsid w:val="00A34AE1"/>
    <w:rsid w:val="00CF7E45"/>
    <w:rsid w:val="0378292B"/>
    <w:rsid w:val="03E80687"/>
    <w:rsid w:val="03F11C32"/>
    <w:rsid w:val="053A4F12"/>
    <w:rsid w:val="067B57E2"/>
    <w:rsid w:val="06E741B2"/>
    <w:rsid w:val="098E58AD"/>
    <w:rsid w:val="0BB058B3"/>
    <w:rsid w:val="0C13687C"/>
    <w:rsid w:val="0C186C79"/>
    <w:rsid w:val="0D0C53E6"/>
    <w:rsid w:val="0E012A71"/>
    <w:rsid w:val="0EEE7499"/>
    <w:rsid w:val="0F1F3AF7"/>
    <w:rsid w:val="1177536D"/>
    <w:rsid w:val="122A592E"/>
    <w:rsid w:val="12B72298"/>
    <w:rsid w:val="12F72695"/>
    <w:rsid w:val="1399374C"/>
    <w:rsid w:val="148F3891"/>
    <w:rsid w:val="14B11DD6"/>
    <w:rsid w:val="14B940A6"/>
    <w:rsid w:val="15AF13B1"/>
    <w:rsid w:val="15FF073E"/>
    <w:rsid w:val="16F7322A"/>
    <w:rsid w:val="176127D3"/>
    <w:rsid w:val="176C3651"/>
    <w:rsid w:val="180715CC"/>
    <w:rsid w:val="181141F9"/>
    <w:rsid w:val="18956BD8"/>
    <w:rsid w:val="199E60D5"/>
    <w:rsid w:val="1D4F7221"/>
    <w:rsid w:val="1DF20628"/>
    <w:rsid w:val="207B4905"/>
    <w:rsid w:val="20E82618"/>
    <w:rsid w:val="235F206F"/>
    <w:rsid w:val="26294BA0"/>
    <w:rsid w:val="26FF1895"/>
    <w:rsid w:val="274747EB"/>
    <w:rsid w:val="298760C9"/>
    <w:rsid w:val="29A46C7B"/>
    <w:rsid w:val="2BA60E82"/>
    <w:rsid w:val="2BEA293F"/>
    <w:rsid w:val="2D0A14EA"/>
    <w:rsid w:val="30F46739"/>
    <w:rsid w:val="325E7E6E"/>
    <w:rsid w:val="3273368E"/>
    <w:rsid w:val="332130EA"/>
    <w:rsid w:val="340F2D15"/>
    <w:rsid w:val="36115C39"/>
    <w:rsid w:val="38FE7A29"/>
    <w:rsid w:val="3D9A6E66"/>
    <w:rsid w:val="3DF15DAF"/>
    <w:rsid w:val="3EAF2D25"/>
    <w:rsid w:val="3F407471"/>
    <w:rsid w:val="427471B5"/>
    <w:rsid w:val="44A818BD"/>
    <w:rsid w:val="46B362F7"/>
    <w:rsid w:val="483B2A48"/>
    <w:rsid w:val="484D62D8"/>
    <w:rsid w:val="49BC1967"/>
    <w:rsid w:val="49BF4FB3"/>
    <w:rsid w:val="4A1B668D"/>
    <w:rsid w:val="4A235542"/>
    <w:rsid w:val="4B592FFE"/>
    <w:rsid w:val="4E0D2791"/>
    <w:rsid w:val="511B0050"/>
    <w:rsid w:val="54534C76"/>
    <w:rsid w:val="55603AEE"/>
    <w:rsid w:val="59851D75"/>
    <w:rsid w:val="59D10B16"/>
    <w:rsid w:val="5A092406"/>
    <w:rsid w:val="5C076A71"/>
    <w:rsid w:val="5E3E0745"/>
    <w:rsid w:val="5EFD2B18"/>
    <w:rsid w:val="61927F7B"/>
    <w:rsid w:val="639300C6"/>
    <w:rsid w:val="63992934"/>
    <w:rsid w:val="65F71905"/>
    <w:rsid w:val="66301F9E"/>
    <w:rsid w:val="66CD2666"/>
    <w:rsid w:val="696511A7"/>
    <w:rsid w:val="6D8A7502"/>
    <w:rsid w:val="70D867D7"/>
    <w:rsid w:val="713D663A"/>
    <w:rsid w:val="72523D75"/>
    <w:rsid w:val="731A097F"/>
    <w:rsid w:val="73CF1760"/>
    <w:rsid w:val="76D47D5E"/>
    <w:rsid w:val="77AE203F"/>
    <w:rsid w:val="78061E7B"/>
    <w:rsid w:val="78324A1E"/>
    <w:rsid w:val="7927654D"/>
    <w:rsid w:val="7AF979E8"/>
    <w:rsid w:val="7BDF310F"/>
    <w:rsid w:val="7DE50B91"/>
    <w:rsid w:val="7DED39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style>
  <w:style w:type="paragraph" w:styleId="3">
    <w:name w:val="Body Text"/>
    <w:basedOn w:val="1"/>
    <w:next w:val="4"/>
    <w:unhideWhenUsed/>
    <w:qFormat/>
    <w:uiPriority w:val="99"/>
    <w:pPr>
      <w:spacing w:after="120"/>
    </w:pPr>
  </w:style>
  <w:style w:type="paragraph" w:customStyle="1" w:styleId="4">
    <w:name w:val="Char Char Char Char Char Char Char Char Char Char Char Char Char Char Char Char Char Char Char Char Char Char Char Char Char Char Char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styleId="5">
    <w:name w:val="Normal (Web)"/>
    <w:basedOn w:val="1"/>
    <w:qFormat/>
    <w:uiPriority w:val="0"/>
    <w:pPr>
      <w:spacing w:beforeAutospacing="1" w:afterAutospacing="1"/>
      <w:jc w:val="left"/>
    </w:pPr>
    <w:rPr>
      <w:rFonts w:cs="Times New Roman"/>
      <w:kern w:val="0"/>
      <w:sz w:val="24"/>
    </w:rPr>
  </w:style>
  <w:style w:type="character" w:styleId="8">
    <w:name w:val="Strong"/>
    <w:basedOn w:val="7"/>
    <w:qFormat/>
    <w:uiPriority w:val="0"/>
    <w:rPr>
      <w:b/>
    </w:rPr>
  </w:style>
  <w:style w:type="character" w:styleId="9">
    <w:name w:val="Hyperlink"/>
    <w:basedOn w:val="7"/>
    <w:qFormat/>
    <w:uiPriority w:val="0"/>
    <w:rPr>
      <w:color w:val="0000FF"/>
      <w:u w:val="single"/>
    </w:rPr>
  </w:style>
  <w:style w:type="paragraph" w:customStyle="1" w:styleId="10">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Home</Company>
  <Pages>3</Pages>
  <Words>1207</Words>
  <Characters>1273</Characters>
  <Lines>9</Lines>
  <Paragraphs>2</Paragraphs>
  <TotalTime>46</TotalTime>
  <ScaleCrop>false</ScaleCrop>
  <LinksUpToDate>false</LinksUpToDate>
  <CharactersWithSpaces>1274</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2023-07-13T07:43:00Z</dcterms:created>
  <dc:creator>飞雪</dc:creator>
  <cp:lastModifiedBy>飞雪</cp:lastModifiedBy>
  <cp:lastPrinted>2023-08-30T00:39:00Z</cp:lastPrinted>
  <dcterms:modified xsi:type="dcterms:W3CDTF">2026-09-03T02:00:10Z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04CDF781A42C4CFD870B705B393E4547_11</vt:lpwstr>
  </property>
  <property fmtid="{D5CDD505-2E9C-101B-9397-08002B2CF9AE}" pid="4" name="KSOTemplateDocerSaveRecord">
    <vt:lpwstr>eyJoZGlkIjoiZTNjNThiODA0MGY1Yjg5NGM4YmRkNWE5YjgwZTliNzQiLCJ1c2VySWQiOiIyMjAyODg5NjEifQ==</vt:lpwstr>
  </property>
</Properties>
</file>