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027D0">
      <w:pPr>
        <w:spacing w:line="651" w:lineRule="atLeast"/>
        <w:rPr>
          <w:rFonts w:hint="eastAsia" w:ascii="黑体" w:hAnsi="黑体" w:eastAsia="黑体"/>
          <w:sz w:val="32"/>
          <w:szCs w:val="32"/>
          <w:lang w:val="en-US" w:eastAsia="zh-CN"/>
        </w:rPr>
      </w:pPr>
      <w:r>
        <w:rPr>
          <w:rFonts w:hint="eastAsia" w:ascii="黑体" w:hAnsi="黑体" w:eastAsia="黑体"/>
          <w:sz w:val="32"/>
          <w:szCs w:val="32"/>
          <w:lang w:eastAsia="zh-CN"/>
        </w:rPr>
        <w:t>附件</w:t>
      </w:r>
      <w:r>
        <w:rPr>
          <w:rFonts w:hint="eastAsia" w:ascii="黑体" w:hAnsi="黑体" w:eastAsia="黑体"/>
          <w:sz w:val="32"/>
          <w:szCs w:val="32"/>
          <w:lang w:val="en-US" w:eastAsia="zh-CN"/>
        </w:rPr>
        <w:t>1</w:t>
      </w:r>
    </w:p>
    <w:p w14:paraId="02048B94">
      <w:pPr>
        <w:pStyle w:val="2"/>
        <w:jc w:val="center"/>
        <w:rPr>
          <w:rFonts w:hint="eastAsia" w:ascii="方正小标宋简体" w:hAnsi="方正小标宋简体" w:eastAsia="方正小标宋简体" w:cs="方正小标宋简体"/>
          <w:i w:val="0"/>
          <w:caps w:val="0"/>
          <w:color w:val="000000"/>
          <w:spacing w:val="0"/>
          <w:sz w:val="40"/>
          <w:szCs w:val="40"/>
          <w:u w:val="none"/>
        </w:rPr>
      </w:pPr>
      <w:r>
        <w:rPr>
          <w:rFonts w:hint="eastAsia" w:ascii="方正小标宋简体" w:hAnsi="方正小标宋简体" w:eastAsia="方正小标宋简体" w:cs="方正小标宋简体"/>
          <w:i w:val="0"/>
          <w:caps w:val="0"/>
          <w:color w:val="000000"/>
          <w:spacing w:val="0"/>
          <w:sz w:val="40"/>
          <w:szCs w:val="40"/>
          <w:u w:val="none"/>
        </w:rPr>
        <w:fldChar w:fldCharType="begin"/>
      </w:r>
      <w:r>
        <w:rPr>
          <w:rFonts w:hint="eastAsia" w:ascii="方正小标宋简体" w:hAnsi="方正小标宋简体" w:eastAsia="方正小标宋简体" w:cs="方正小标宋简体"/>
          <w:i w:val="0"/>
          <w:caps w:val="0"/>
          <w:color w:val="000000"/>
          <w:spacing w:val="0"/>
          <w:sz w:val="40"/>
          <w:szCs w:val="40"/>
          <w:u w:val="none"/>
        </w:rPr>
        <w:instrText xml:space="preserve"> HYPERLINK "https://www.sport.gov.cn/n315/n20001395/c28379884/part/28390775.xlsx" \t "https://www.sport.gov.cn/n315/n20001395/c28379884/_blank" </w:instrText>
      </w:r>
      <w:r>
        <w:rPr>
          <w:rFonts w:hint="eastAsia" w:ascii="方正小标宋简体" w:hAnsi="方正小标宋简体" w:eastAsia="方正小标宋简体" w:cs="方正小标宋简体"/>
          <w:i w:val="0"/>
          <w:caps w:val="0"/>
          <w:color w:val="000000"/>
          <w:spacing w:val="0"/>
          <w:sz w:val="40"/>
          <w:szCs w:val="40"/>
          <w:u w:val="none"/>
        </w:rPr>
        <w:fldChar w:fldCharType="separate"/>
      </w:r>
      <w:r>
        <w:rPr>
          <w:rStyle w:val="7"/>
          <w:rFonts w:hint="eastAsia" w:ascii="方正小标宋简体" w:hAnsi="方正小标宋简体" w:eastAsia="方正小标宋简体" w:cs="方正小标宋简体"/>
          <w:i w:val="0"/>
          <w:caps w:val="0"/>
          <w:color w:val="000000"/>
          <w:spacing w:val="0"/>
          <w:sz w:val="40"/>
          <w:szCs w:val="40"/>
          <w:u w:val="none"/>
        </w:rPr>
        <w:t>2025年</w:t>
      </w:r>
      <w:r>
        <w:rPr>
          <w:rStyle w:val="7"/>
          <w:rFonts w:hint="eastAsia" w:ascii="方正小标宋简体" w:hAnsi="方正小标宋简体" w:eastAsia="方正小标宋简体" w:cs="方正小标宋简体"/>
          <w:i w:val="0"/>
          <w:caps w:val="0"/>
          <w:color w:val="000000"/>
          <w:spacing w:val="0"/>
          <w:sz w:val="40"/>
          <w:szCs w:val="40"/>
          <w:u w:val="none"/>
          <w:lang w:eastAsia="zh-CN"/>
        </w:rPr>
        <w:t>福建省体育局</w:t>
      </w:r>
      <w:r>
        <w:rPr>
          <w:rStyle w:val="7"/>
          <w:rFonts w:hint="eastAsia" w:ascii="方正小标宋简体" w:hAnsi="方正小标宋简体" w:eastAsia="方正小标宋简体" w:cs="方正小标宋简体"/>
          <w:i w:val="0"/>
          <w:caps w:val="0"/>
          <w:color w:val="000000"/>
          <w:spacing w:val="0"/>
          <w:sz w:val="40"/>
          <w:szCs w:val="40"/>
          <w:u w:val="none"/>
        </w:rPr>
        <w:t>决策咨询研究项目目录</w:t>
      </w:r>
      <w:r>
        <w:rPr>
          <w:rFonts w:hint="eastAsia" w:ascii="方正小标宋简体" w:hAnsi="方正小标宋简体" w:eastAsia="方正小标宋简体" w:cs="方正小标宋简体"/>
          <w:i w:val="0"/>
          <w:caps w:val="0"/>
          <w:color w:val="000000"/>
          <w:spacing w:val="0"/>
          <w:sz w:val="40"/>
          <w:szCs w:val="40"/>
          <w:u w:val="none"/>
        </w:rPr>
        <w:fldChar w:fldCharType="end"/>
      </w: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4"/>
        <w:gridCol w:w="5219"/>
        <w:gridCol w:w="8282"/>
      </w:tblGrid>
      <w:tr w14:paraId="140C4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blHeader/>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1CCD5685">
            <w:pPr>
              <w:keepNext w:val="0"/>
              <w:keepLines w:val="0"/>
              <w:widowControl/>
              <w:suppressLineNumbers w:val="0"/>
              <w:jc w:val="center"/>
              <w:textAlignment w:val="center"/>
              <w:rPr>
                <w:rFonts w:hint="eastAsia" w:ascii="宋体" w:hAnsi="宋体" w:eastAsia="宋体" w:cs="宋体"/>
                <w:b/>
                <w:bCs/>
                <w:i w:val="0"/>
                <w:color w:val="000000"/>
                <w:sz w:val="28"/>
                <w:szCs w:val="28"/>
                <w:u w:val="none"/>
              </w:rPr>
            </w:pPr>
            <w:r>
              <w:rPr>
                <w:rFonts w:hint="eastAsia" w:ascii="宋体" w:hAnsi="宋体" w:eastAsia="宋体" w:cs="宋体"/>
                <w:b/>
                <w:bCs/>
                <w:i w:val="0"/>
                <w:color w:val="000000"/>
                <w:kern w:val="0"/>
                <w:sz w:val="28"/>
                <w:szCs w:val="28"/>
                <w:u w:val="none"/>
                <w:lang w:val="en-US" w:eastAsia="zh-CN" w:bidi="ar"/>
              </w:rPr>
              <w:t>序号</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34CE44C7">
            <w:pPr>
              <w:keepNext w:val="0"/>
              <w:keepLines w:val="0"/>
              <w:widowControl/>
              <w:suppressLineNumbers w:val="0"/>
              <w:jc w:val="center"/>
              <w:textAlignment w:val="center"/>
              <w:rPr>
                <w:rFonts w:hint="eastAsia" w:ascii="宋体" w:hAnsi="宋体" w:eastAsia="宋体" w:cs="宋体"/>
                <w:b/>
                <w:bCs/>
                <w:i w:val="0"/>
                <w:color w:val="000000"/>
                <w:sz w:val="28"/>
                <w:szCs w:val="28"/>
                <w:u w:val="none"/>
              </w:rPr>
            </w:pPr>
            <w:r>
              <w:rPr>
                <w:rFonts w:hint="eastAsia" w:ascii="宋体" w:hAnsi="宋体" w:eastAsia="宋体" w:cs="宋体"/>
                <w:b/>
                <w:bCs/>
                <w:i w:val="0"/>
                <w:color w:val="000000"/>
                <w:kern w:val="0"/>
                <w:sz w:val="28"/>
                <w:szCs w:val="28"/>
                <w:u w:val="none"/>
                <w:lang w:val="en-US" w:eastAsia="zh-CN" w:bidi="ar"/>
              </w:rPr>
              <w:t>选题名称</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7B99EB38">
            <w:pPr>
              <w:keepNext w:val="0"/>
              <w:keepLines w:val="0"/>
              <w:widowControl/>
              <w:suppressLineNumbers w:val="0"/>
              <w:jc w:val="center"/>
              <w:textAlignment w:val="center"/>
              <w:rPr>
                <w:rFonts w:hint="eastAsia" w:ascii="宋体" w:hAnsi="宋体" w:eastAsia="宋体" w:cs="宋体"/>
                <w:b/>
                <w:bCs/>
                <w:i w:val="0"/>
                <w:color w:val="000000"/>
                <w:sz w:val="28"/>
                <w:szCs w:val="28"/>
                <w:u w:val="none"/>
              </w:rPr>
            </w:pPr>
            <w:r>
              <w:rPr>
                <w:rFonts w:hint="eastAsia" w:ascii="宋体" w:hAnsi="宋体" w:eastAsia="宋体" w:cs="宋体"/>
                <w:b/>
                <w:bCs/>
                <w:i w:val="0"/>
                <w:color w:val="000000"/>
                <w:kern w:val="0"/>
                <w:sz w:val="28"/>
                <w:szCs w:val="28"/>
                <w:u w:val="none"/>
                <w:lang w:val="en-US" w:eastAsia="zh-CN" w:bidi="ar"/>
              </w:rPr>
              <w:t>研究重点</w:t>
            </w:r>
          </w:p>
        </w:tc>
      </w:tr>
      <w:tr w14:paraId="4C4DF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59761494">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2BDC3747">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完善全民健身公共服务体系研究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13350735">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落实党的二十届三中全会要求，结合我省实际，围绕完善全民健身公共服务体系开展深入研究。</w:t>
            </w:r>
          </w:p>
        </w:tc>
      </w:tr>
      <w:tr w14:paraId="79C9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51429BFE">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52263AD4">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改革完善竞技体育管理体制和运行机制研究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01D1369B">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落实党的二十届三中全会要求，结合我省实际，围绕改革完善竞技体育管理体制和运行机制开展深入研究。</w:t>
            </w:r>
          </w:p>
        </w:tc>
      </w:tr>
      <w:tr w14:paraId="1F921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6FCA3606">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010E2844">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体育在城市工作中的多元价值与功能研究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04CC3096">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落实中央城市工作会议精神，结合我省实际，研究体育如何在城市工作中，发挥多元价值与功能。</w:t>
            </w:r>
          </w:p>
        </w:tc>
      </w:tr>
      <w:tr w14:paraId="55630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0B882A2F">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18A1CA01">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全国大型综合性运动会效益分析</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40004387">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分析全国大型综合性运动会的社会经济效益，全面调查分析我省办赛综合能力，提出可行性意见和提升路径。</w:t>
            </w:r>
          </w:p>
        </w:tc>
      </w:tr>
      <w:tr w14:paraId="65508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35"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4192DC81">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0366F590">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数字赋能体育事业高质量发展研究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71CA58FA">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数字化背景下，运用数字技术，推动体育各项事业高质量发展路径研究。</w:t>
            </w:r>
          </w:p>
        </w:tc>
      </w:tr>
      <w:tr w14:paraId="1984B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17"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7C36902A">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19A09EB6">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多元化竞技体育发展模式研究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6BD4CD3C">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研究构建更加开放、高效的多元主体参与竞技体育的发展模式和路径。</w:t>
            </w:r>
          </w:p>
        </w:tc>
      </w:tr>
      <w:tr w14:paraId="027C4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15C2D242">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044E8E0C">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释放体育消费潜力，推进体育产业高质量发展研究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777D75A6">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系统梳理我省体育产业发展情况、优势与短板，借鉴各省先进做法和经验，提出可行性意见建议。</w:t>
            </w:r>
          </w:p>
        </w:tc>
      </w:tr>
      <w:tr w14:paraId="18813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740614E8">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3E0CF08D">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科技助力竞技体育高质量发展研究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4540F157">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梳理各省科技助力专业运动队训练备战情况，分析我省现状和短板，通过理论阐述与实践案例，结合我省运动项目发展实际，提出可行性意见建议。</w:t>
            </w:r>
          </w:p>
        </w:tc>
      </w:tr>
      <w:tr w14:paraId="38D0A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30944C89">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73DB6BB8">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福建“三大球”振兴发展研究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7BBFA697">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全面调查分析我省“三大球”发展现状，梳理各省“三大球”发展情况、特色做法和实际成效，提出我省“三大球”振兴发展思路、举措。</w:t>
            </w:r>
          </w:p>
        </w:tc>
      </w:tr>
      <w:tr w14:paraId="2D80D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10CC9583">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68D67483">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福建省青少年足球人才培养体系研究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7DB92812">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围绕培养青少年精英球员目标要求，提出省、市、县三级足球青训中心建设思路和模型，建立梯次培养、逐级输送、衔接有序的人才培养选拔体系，构建政府与社会多元参与、相互衔接、优势互补的发展机制。</w:t>
            </w:r>
          </w:p>
        </w:tc>
      </w:tr>
      <w:tr w14:paraId="01EBC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386F1500">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54131DE9">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体校创新发展及青少年后备人才培养体制机制研究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19063F60">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围绕基层体校管理体制和运行机制改革，深入调研我省体校发展及青少年后备人才培养存在的问题和挑战，探索构建以体校为龙头，辐射带动区域学校开展体育教学和训练的“一核多翼”后备人才布局。</w:t>
            </w:r>
          </w:p>
        </w:tc>
      </w:tr>
      <w:tr w14:paraId="3A156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6CF110D0">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1A19116A">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协会实体化改革背景下福建体育社会组织改革发展路径研究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76378CDB">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深入分析国家体育协会改革历程和发展现状，全面调查分析我省体育协会发展现状和存在问题，提出福建体育社会组织改革发展路径和管理模式，并充分论证改革和管理的科学性、可行性。</w:t>
            </w:r>
          </w:p>
        </w:tc>
      </w:tr>
      <w:tr w14:paraId="2764D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4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67AC248E">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56B8D07A">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基于医改背景下运动促进健康研究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5F12DE05">
            <w:pPr>
              <w:widowControl/>
              <w:spacing w:line="400" w:lineRule="exact"/>
              <w:jc w:val="both"/>
              <w:rPr>
                <w:rFonts w:hint="eastAsia" w:ascii="宋体" w:hAnsi="宋体" w:eastAsia="宋体" w:cs="宋体"/>
                <w:i w:val="0"/>
                <w:color w:val="000000"/>
                <w:sz w:val="24"/>
                <w:szCs w:val="24"/>
                <w:u w:val="none"/>
                <w:lang w:eastAsia="zh"/>
              </w:rPr>
            </w:pPr>
            <w:r>
              <w:rPr>
                <w:rFonts w:hint="eastAsia" w:ascii="宋体" w:hAnsi="宋体" w:eastAsia="宋体" w:cs="宋体"/>
                <w:i w:val="0"/>
                <w:color w:val="000000"/>
                <w:sz w:val="24"/>
                <w:szCs w:val="24"/>
                <w:u w:val="none"/>
                <w:lang w:eastAsia="zh"/>
              </w:rPr>
              <w:t>结合福建医改，研究我省体卫融合特色发展机制，探索构建运动促进健康新模式。</w:t>
            </w:r>
          </w:p>
        </w:tc>
      </w:tr>
      <w:tr w14:paraId="2ECC7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06C57668">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3F44B951">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运动员综合素养提升路径研究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09026877">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调研我省在运动员综合素养培养方面存在的问题；研究运动员从入队到退役全周期发展指导的综合素养提升课程体系；研究提出包括政策支持、组织架构、资源配置等在内的运动员综合素养提升实施路径。</w:t>
            </w:r>
          </w:p>
        </w:tc>
      </w:tr>
      <w:tr w14:paraId="42761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1DBE33B4">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20984538">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福建省赛事经济发展研究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616FC024">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梳理当前我省赛事经济发展的基本情况、优势与短板，借鉴国外和国内先进省份品牌赛事打造经验，提出“十五五”期间赛事经济培育政策建议。</w:t>
            </w:r>
          </w:p>
        </w:tc>
      </w:tr>
      <w:tr w14:paraId="35BE3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33EA1F1D">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4D552061">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“体育赛事进景区、进街区、进商圈”促进文体旅深度融合的政策研究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557AFDAC">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分析当前我省“体育赛事进景区、进街区、进商圈”活动开展的现状和问题；梳理文体旅深度融合的现行政策；结合各省成功案例，研究提出相关政策建议。</w:t>
            </w:r>
          </w:p>
        </w:tc>
      </w:tr>
      <w:tr w14:paraId="34297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50682417">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6146DCA2">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高质量户外运动目的地建设发展研究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4F342F04">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调研各地高质量户外运动目的地建设推进情况，对拟建设高质量户外运动目的地的地区优势与短板进行研究，提出省级政策建议和对地方建设工作的具体建议。</w:t>
            </w:r>
          </w:p>
        </w:tc>
      </w:tr>
      <w:tr w14:paraId="40938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77BD5254">
            <w:pPr>
              <w:keepNext w:val="0"/>
              <w:keepLines w:val="0"/>
              <w:widowControl/>
              <w:suppressLineNumbers w:val="0"/>
              <w:spacing w:line="40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18</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5813F34F">
            <w:pPr>
              <w:keepNext w:val="0"/>
              <w:keepLines w:val="0"/>
              <w:widowControl/>
              <w:suppressLineNumbers w:val="0"/>
              <w:spacing w:line="400" w:lineRule="exact"/>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体育助力乡村振兴的长效机制与实现路径研究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56A4F902">
            <w:pPr>
              <w:keepNext w:val="0"/>
              <w:keepLines w:val="0"/>
              <w:widowControl/>
              <w:suppressLineNumbers w:val="0"/>
              <w:spacing w:line="400" w:lineRule="exact"/>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调研和分析我省体育助力乡村振兴发展现状，探索如何发挥体育综合价值功能服务乡村振兴，提出可行性建议意见以及实现路径。</w:t>
            </w:r>
          </w:p>
        </w:tc>
      </w:tr>
      <w:tr w14:paraId="46CA6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0FEAC7F5">
            <w:pPr>
              <w:keepNext w:val="0"/>
              <w:keepLines w:val="0"/>
              <w:widowControl/>
              <w:suppressLineNumbers w:val="0"/>
              <w:spacing w:line="40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19</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0F1E0FDF">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建设两岸融合发展示范区背景下闽台棒球交流合作机制与发展路径研究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0306CCAE">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分析当前闽台棒球交流的基本情况、优势、亮点，以及地方各级体育部门在推进闽台棒球交流存在的困难和问题，围绕两岸融合发展示范区建设提出合作机制与发展路径建议。</w:t>
            </w:r>
          </w:p>
        </w:tc>
      </w:tr>
      <w:tr w14:paraId="08D0E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884" w:type="dxa"/>
            <w:tcBorders>
              <w:top w:val="single" w:color="000000" w:sz="4" w:space="0"/>
              <w:left w:val="single" w:color="000000" w:sz="4" w:space="0"/>
              <w:bottom w:val="single" w:color="000000" w:sz="4" w:space="0"/>
              <w:right w:val="single" w:color="000000" w:sz="4" w:space="0"/>
            </w:tcBorders>
            <w:noWrap w:val="0"/>
            <w:vAlign w:val="center"/>
          </w:tcPr>
          <w:p w14:paraId="78E440E1">
            <w:pPr>
              <w:keepNext w:val="0"/>
              <w:keepLines w:val="0"/>
              <w:widowControl/>
              <w:suppressLineNumbers w:val="0"/>
              <w:spacing w:line="400" w:lineRule="exact"/>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20</w:t>
            </w:r>
          </w:p>
        </w:tc>
        <w:tc>
          <w:tcPr>
            <w:tcW w:w="5219" w:type="dxa"/>
            <w:tcBorders>
              <w:top w:val="single" w:color="000000" w:sz="4" w:space="0"/>
              <w:left w:val="single" w:color="000000" w:sz="4" w:space="0"/>
              <w:bottom w:val="single" w:color="000000" w:sz="4" w:space="0"/>
              <w:right w:val="single" w:color="000000" w:sz="4" w:space="0"/>
            </w:tcBorders>
            <w:noWrap w:val="0"/>
            <w:vAlign w:val="center"/>
          </w:tcPr>
          <w:p w14:paraId="0686BE0C">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改革完善福建体育执法体系研究</w:t>
            </w:r>
          </w:p>
        </w:tc>
        <w:tc>
          <w:tcPr>
            <w:tcW w:w="8282" w:type="dxa"/>
            <w:tcBorders>
              <w:top w:val="single" w:color="000000" w:sz="4" w:space="0"/>
              <w:left w:val="single" w:color="000000" w:sz="4" w:space="0"/>
              <w:bottom w:val="single" w:color="000000" w:sz="4" w:space="0"/>
              <w:right w:val="single" w:color="000000" w:sz="4" w:space="0"/>
            </w:tcBorders>
            <w:noWrap w:val="0"/>
            <w:vAlign w:val="center"/>
          </w:tcPr>
          <w:p w14:paraId="27F65A02">
            <w:pPr>
              <w:keepNext w:val="0"/>
              <w:keepLines w:val="0"/>
              <w:widowControl/>
              <w:suppressLineNumbers w:val="0"/>
              <w:spacing w:line="4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调研梳理我省体育执法方面存在的问题，分析各省体育执法体系建设情况，结合案例提出科学合理意见建议，制定福建体育系统执法规范标准。</w:t>
            </w:r>
          </w:p>
        </w:tc>
      </w:tr>
    </w:tbl>
    <w:p w14:paraId="67AB58DB">
      <w:bookmarkStart w:id="0" w:name="_GoBack"/>
      <w:bookmarkEnd w:id="0"/>
    </w:p>
    <w:sectPr>
      <w:footerReference r:id="rId3" w:type="default"/>
      <w:pgSz w:w="16838" w:h="11906" w:orient="landscape"/>
      <w:pgMar w:top="1531" w:right="1440" w:bottom="1531" w:left="1440" w:header="851" w:footer="992" w:gutter="0"/>
      <w:pgNumType w:fmt="decimal"/>
      <w:cols w:space="720" w:num="1"/>
      <w:rtlGutter w:val="0"/>
      <w:docGrid w:type="linesAndChars" w:linePitch="312" w:charSpace="-36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EACDB">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B95BA39">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CX2GkzAEAAKcDAAAOAAAAAAAAAAEAIAAAAB4BAABkcnMvZTJv&#10;RG9jLnhtbFBLBQYAAAAABgAGAFkBAABcBQAAAAA=&#10;">
              <v:fill on="f" focussize="0,0"/>
              <v:stroke on="f"/>
              <v:imagedata o:title=""/>
              <o:lock v:ext="edit" aspectratio="f"/>
              <v:textbox inset="0mm,0mm,0mm,0mm" style="mso-fit-shape-to-text:t;">
                <w:txbxContent>
                  <w:p w14:paraId="3B95BA39">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5BC9E533">
                          <w:pPr>
                            <w:pStyle w:val="3"/>
                            <w:rPr>
                              <w:rFonts w:hint="eastAsia" w:ascii="宋体" w:hAnsi="宋体" w:eastAsia="宋体" w:cs="宋体"/>
                              <w:sz w:val="28"/>
                              <w:szCs w:val="28"/>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kM4J7NYBAACwAwAADgAAAAAAAAABACAAAAAe&#10;AQAAZHJzL2Uyb0RvYy54bWxQSwUGAAAAAAYABgBZAQAAZgUAAAAA&#10;">
              <v:fill on="f" focussize="0,0"/>
              <v:stroke on="f"/>
              <v:imagedata o:title=""/>
              <o:lock v:ext="edit" aspectratio="f"/>
              <v:textbox inset="0mm,0mm,0mm,0mm" style="mso-fit-shape-to-text:t;">
                <w:txbxContent>
                  <w:p w14:paraId="5BC9E533">
                    <w:pPr>
                      <w:pStyle w:val="3"/>
                      <w:rPr>
                        <w:rFonts w:hint="eastAsia" w:ascii="宋体" w:hAnsi="宋体" w:eastAsia="宋体" w:cs="宋体"/>
                        <w:sz w:val="28"/>
                        <w:szCs w:val="28"/>
                        <w:lang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F0226A"/>
    <w:rsid w:val="3AF0226A"/>
    <w:rsid w:val="76515755"/>
    <w:rsid w:val="7FEB2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2477</Words>
  <Characters>2533</Characters>
  <Lines>0</Lines>
  <Paragraphs>0</Paragraphs>
  <TotalTime>0</TotalTime>
  <ScaleCrop>false</ScaleCrop>
  <LinksUpToDate>false</LinksUpToDate>
  <CharactersWithSpaces>2773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2025-09-04T09:57:00Z</dcterms:created>
  <dc:creator>董曦</dc:creator>
  <cp:lastModifiedBy>阿土哥</cp:lastModifiedBy>
  <dcterms:modified xsi:type="dcterms:W3CDTF">2025-09-15T01:15:35Z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9C7F35920CB844B988257B3B84442995_13</vt:lpwstr>
  </property>
  <property fmtid="{D5CDD505-2E9C-101B-9397-08002B2CF9AE}" pid="4" name="KSOTemplateDocerSaveRecord">
    <vt:lpwstr>eyJoZGlkIjoiZGM2YjczNWI1NWJiOGQ4ZjkyODYwZjc5OTYzOTJkNjkiLCJ1c2VySWQiOiIxMTYwMzY4NDg2In0=</vt:lpwstr>
  </property>
</Properties>
</file>