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武夷学院“十四五”规划建言献策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内容指南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提升博士学位教师占比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双师双能型师资队伍建设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学科管理机制创新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学科带头人管理及学科团队建设制度创新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紧密对接南平市十四五产业发展布局，进一步优化专业结构布局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落实教育部关于全力推进“四新”专业（新工科、新农科、新文科、新医科）建设的精神，对现有相关专业按照“新”要求进行改造、创新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推进专业认证工作，以专业认证推动专业建设水平的提升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持续深化产教融合，不断创新人才培养模式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提升科研服务地方发展能力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提高科研管理服务水平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提高科研创新平台建设水平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红色文化、朱子文化、茶文化等中华优秀文化进校园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加强校园文化环境建设的意见建议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已建校舍及校园设施的维护与改造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校园文化景观建设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校园北区规划设计与实施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以学生为主体，如何进一步加强学生指导与服务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加强就业创业指导，促进学生高质量就业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9FD7A"/>
    <w:multiLevelType w:val="singleLevel"/>
    <w:tmpl w:val="B5A9FD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C0120"/>
    <w:rsid w:val="2F4C0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2020-11-11T07:12:00Z</dcterms:created>
  <dc:creator>森呼吸</dc:creator>
  <cp:lastModifiedBy>森呼吸</cp:lastModifiedBy>
  <dcterms:modified xsi:type="dcterms:W3CDTF">2020-11-11T07:13:01Z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