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EF36D">
      <w:pPr>
        <w:pStyle w:val="13"/>
        <w:jc w:val="center"/>
        <w:rPr>
          <w:rFonts w:hint="eastAsia" w:ascii="方正小标宋简体" w:hAnsi="方正小标宋简体" w:eastAsia="方正小标宋简体" w:cs="方正小标宋简体"/>
          <w:b/>
          <w:sz w:val="32"/>
          <w:szCs w:val="32"/>
          <w:lang w:val="en-US" w:eastAsia="zh-CN"/>
        </w:rPr>
      </w:pPr>
      <w:r>
        <w:rPr>
          <w:rFonts w:hint="eastAsia" w:ascii="方正小标宋简体" w:hAnsi="方正小标宋简体" w:eastAsia="方正小标宋简体" w:cs="方正小标宋简体"/>
          <w:b w:val="0"/>
          <w:bCs w:val="0"/>
          <w:sz w:val="32"/>
          <w:szCs w:val="32"/>
          <w:u w:val="single"/>
        </w:rPr>
        <w:t xml:space="preserve">        </w:t>
      </w:r>
      <w:r>
        <w:rPr>
          <w:rFonts w:hint="eastAsia" w:ascii="方正小标宋简体" w:hAnsi="方正小标宋简体" w:eastAsia="方正小标宋简体" w:cs="方正小标宋简体"/>
          <w:b w:val="0"/>
          <w:bCs w:val="0"/>
          <w:sz w:val="32"/>
          <w:szCs w:val="32"/>
        </w:rPr>
        <w:t>学院（部门）</w:t>
      </w:r>
      <w:r>
        <w:rPr>
          <w:rFonts w:hint="eastAsia" w:ascii="方正小标宋简体" w:hAnsi="方正小标宋简体" w:eastAsia="方正小标宋简体" w:cs="方正小标宋简体"/>
          <w:b w:val="0"/>
          <w:bCs w:val="0"/>
          <w:sz w:val="32"/>
          <w:szCs w:val="32"/>
          <w:u w:val="single"/>
          <w:lang w:val="en-US" w:eastAsia="zh-CN"/>
        </w:rPr>
        <w:t xml:space="preserve">            </w:t>
      </w:r>
      <w:r>
        <w:rPr>
          <w:rFonts w:hint="eastAsia" w:ascii="方正小标宋简体" w:hAnsi="方正小标宋简体" w:eastAsia="方正小标宋简体" w:cs="方正小标宋简体"/>
          <w:b w:val="0"/>
          <w:bCs w:val="0"/>
          <w:sz w:val="32"/>
          <w:szCs w:val="32"/>
          <w:u w:val="none"/>
          <w:lang w:val="en-US" w:eastAsia="zh-CN"/>
        </w:rPr>
        <w:t>项目</w:t>
      </w:r>
      <w:r>
        <w:rPr>
          <w:rFonts w:hint="eastAsia" w:ascii="方正小标宋简体" w:hAnsi="方正小标宋简体" w:eastAsia="方正小标宋简体" w:cs="方正小标宋简体"/>
          <w:b w:val="0"/>
          <w:bCs w:val="0"/>
          <w:sz w:val="32"/>
          <w:szCs w:val="32"/>
        </w:rPr>
        <w:t>采购</w:t>
      </w:r>
      <w:r>
        <w:rPr>
          <w:rFonts w:hint="eastAsia" w:ascii="方正小标宋简体" w:hAnsi="方正小标宋简体" w:eastAsia="方正小标宋简体" w:cs="方正小标宋简体"/>
          <w:b/>
          <w:sz w:val="32"/>
          <w:szCs w:val="32"/>
          <w:lang w:val="en-US" w:eastAsia="zh-CN"/>
        </w:rPr>
        <w:t>方案（工程类）</w:t>
      </w:r>
    </w:p>
    <w:p w14:paraId="3F64D677">
      <w:pPr>
        <w:pStyle w:val="13"/>
        <w:jc w:val="left"/>
        <w:rPr>
          <w:rFonts w:hint="eastAsia" w:ascii="仿宋_GB2312" w:hAnsi="仿宋_GB2312" w:eastAsia="仿宋_GB2312" w:cs="仿宋_GB2312"/>
          <w:b/>
          <w:bCs/>
          <w:kern w:val="2"/>
          <w:sz w:val="28"/>
          <w:szCs w:val="28"/>
          <w:lang w:val="en-US" w:eastAsia="zh-CN" w:bidi="ar-SA"/>
        </w:rPr>
      </w:pPr>
    </w:p>
    <w:p w14:paraId="2B235DD1">
      <w:pPr>
        <w:pStyle w:val="13"/>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本项目专门面向：1、□ 中小（微）企业   2、□ 小微企业。</w:t>
      </w:r>
    </w:p>
    <w:p w14:paraId="6791F6A0">
      <w:pPr>
        <w:pStyle w:val="13"/>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本项目符合以下第</w:t>
      </w:r>
      <w:r>
        <w:rPr>
          <w:rFonts w:hint="eastAsia" w:ascii="仿宋_GB2312" w:hAnsi="仿宋_GB2312" w:eastAsia="仿宋_GB2312" w:cs="仿宋_GB2312"/>
          <w:b/>
          <w:bCs/>
          <w:kern w:val="2"/>
          <w:sz w:val="28"/>
          <w:szCs w:val="28"/>
          <w:u w:val="single"/>
          <w:lang w:val="en-US" w:eastAsia="zh-CN" w:bidi="ar-SA"/>
        </w:rPr>
        <w:t xml:space="preserve">     </w:t>
      </w:r>
      <w:r>
        <w:rPr>
          <w:rFonts w:hint="eastAsia" w:ascii="仿宋_GB2312" w:hAnsi="仿宋_GB2312" w:eastAsia="仿宋_GB2312" w:cs="仿宋_GB2312"/>
          <w:b/>
          <w:bCs/>
          <w:kern w:val="2"/>
          <w:sz w:val="28"/>
          <w:szCs w:val="28"/>
          <w:u w:val="none"/>
          <w:lang w:val="en-US" w:eastAsia="zh-CN" w:bidi="ar-SA"/>
        </w:rPr>
        <w:t>点情形，</w:t>
      </w:r>
      <w:r>
        <w:rPr>
          <w:rFonts w:hint="eastAsia" w:ascii="仿宋_GB2312" w:hAnsi="仿宋_GB2312" w:eastAsia="仿宋_GB2312" w:cs="仿宋_GB2312"/>
          <w:b/>
          <w:bCs/>
          <w:kern w:val="2"/>
          <w:sz w:val="28"/>
          <w:szCs w:val="28"/>
          <w:lang w:val="en-US" w:eastAsia="zh-CN" w:bidi="ar-SA"/>
        </w:rPr>
        <w:t>不专门面向中小（微）企业。</w:t>
      </w:r>
    </w:p>
    <w:p w14:paraId="38B2AC3F">
      <w:pPr>
        <w:pStyle w:val="13"/>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（一）法律法规和国家有关政策明确规定优先或者应当面向事业单位、社会组织等非企业主体采购的；</w:t>
      </w:r>
    </w:p>
    <w:p w14:paraId="143B936F">
      <w:pPr>
        <w:pStyle w:val="13"/>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（二）因确需使用不可替代的专利、专有技术，基础设施限制，或者提供特定公共服务等原因，只能从中小企业之外的供应商处采购的；</w:t>
      </w:r>
    </w:p>
    <w:p w14:paraId="51E3F429">
      <w:pPr>
        <w:pStyle w:val="13"/>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（三）按照本办法规定预留采购份额无法确保充分供应、充分竞争，或者存在可能影响政府采购目标实现的情形；</w:t>
      </w:r>
    </w:p>
    <w:p w14:paraId="52868021">
      <w:pPr>
        <w:pStyle w:val="13"/>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（四）框架协议采购项目；</w:t>
      </w:r>
    </w:p>
    <w:p w14:paraId="1D1A263E">
      <w:pPr>
        <w:pStyle w:val="13"/>
        <w:jc w:val="left"/>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val="0"/>
          <w:bCs w:val="0"/>
          <w:kern w:val="2"/>
          <w:sz w:val="24"/>
          <w:szCs w:val="24"/>
          <w:lang w:val="en-US" w:eastAsia="zh-CN" w:bidi="ar-SA"/>
        </w:rPr>
        <w:t>（五）省级以上人民政府财政部门规定的其他情形。</w:t>
      </w:r>
    </w:p>
    <w:p w14:paraId="2FFC9033">
      <w:pPr>
        <w:pStyle w:val="14"/>
        <w:numPr>
          <w:ilvl w:val="0"/>
          <w:numId w:val="1"/>
        </w:numPr>
        <w:ind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采购项目</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可添加行</w:t>
      </w:r>
      <w:r>
        <w:rPr>
          <w:rFonts w:hint="eastAsia" w:ascii="仿宋_GB2312" w:hAnsi="仿宋_GB2312" w:eastAsia="仿宋_GB2312" w:cs="仿宋_GB2312"/>
          <w:b/>
          <w:bCs/>
          <w:sz w:val="28"/>
          <w:szCs w:val="28"/>
          <w:lang w:eastAsia="zh-CN"/>
        </w:rPr>
        <w:t>）</w:t>
      </w:r>
    </w:p>
    <w:tbl>
      <w:tblPr>
        <w:tblStyle w:val="11"/>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450"/>
        <w:gridCol w:w="714"/>
        <w:gridCol w:w="708"/>
        <w:gridCol w:w="1290"/>
        <w:gridCol w:w="1528"/>
        <w:gridCol w:w="1627"/>
      </w:tblGrid>
      <w:tr w14:paraId="3A26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2" w:type="dxa"/>
            <w:vAlign w:val="center"/>
          </w:tcPr>
          <w:p w14:paraId="683ECEFB">
            <w:pPr>
              <w:pStyle w:val="14"/>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50" w:type="dxa"/>
            <w:vAlign w:val="center"/>
          </w:tcPr>
          <w:p w14:paraId="79991C8D">
            <w:pPr>
              <w:pStyle w:val="14"/>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w:t>
            </w:r>
          </w:p>
        </w:tc>
        <w:tc>
          <w:tcPr>
            <w:tcW w:w="714" w:type="dxa"/>
            <w:vAlign w:val="center"/>
          </w:tcPr>
          <w:p w14:paraId="60C67639">
            <w:pPr>
              <w:pStyle w:val="14"/>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708" w:type="dxa"/>
            <w:vAlign w:val="center"/>
          </w:tcPr>
          <w:p w14:paraId="0A59A9F7">
            <w:pPr>
              <w:pStyle w:val="14"/>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290" w:type="dxa"/>
            <w:vAlign w:val="center"/>
          </w:tcPr>
          <w:p w14:paraId="79374D2B">
            <w:pPr>
              <w:pStyle w:val="14"/>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预算</w:t>
            </w:r>
            <w:r>
              <w:rPr>
                <w:rFonts w:hint="eastAsia" w:ascii="仿宋_GB2312" w:hAnsi="仿宋_GB2312" w:eastAsia="仿宋_GB2312" w:cs="仿宋_GB2312"/>
                <w:sz w:val="24"/>
                <w:szCs w:val="24"/>
                <w:lang w:eastAsia="zh-CN"/>
              </w:rPr>
              <w:t>金额</w:t>
            </w:r>
          </w:p>
        </w:tc>
        <w:tc>
          <w:tcPr>
            <w:tcW w:w="1528" w:type="dxa"/>
            <w:vAlign w:val="center"/>
          </w:tcPr>
          <w:p w14:paraId="397BF86F">
            <w:pPr>
              <w:pStyle w:val="14"/>
              <w:ind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所属行业</w:t>
            </w:r>
          </w:p>
        </w:tc>
        <w:tc>
          <w:tcPr>
            <w:tcW w:w="1627" w:type="dxa"/>
            <w:vAlign w:val="center"/>
          </w:tcPr>
          <w:p w14:paraId="64CA9F96">
            <w:pPr>
              <w:pStyle w:val="14"/>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r>
      <w:tr w14:paraId="74F2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2" w:type="dxa"/>
            <w:vAlign w:val="center"/>
          </w:tcPr>
          <w:p w14:paraId="2B8F3914">
            <w:pPr>
              <w:pStyle w:val="14"/>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50" w:type="dxa"/>
          </w:tcPr>
          <w:p w14:paraId="13246679">
            <w:pPr>
              <w:pStyle w:val="14"/>
              <w:ind w:firstLine="0" w:firstLineChars="0"/>
              <w:rPr>
                <w:rFonts w:hint="eastAsia" w:ascii="仿宋_GB2312" w:hAnsi="仿宋_GB2312" w:eastAsia="仿宋_GB2312" w:cs="仿宋_GB2312"/>
                <w:sz w:val="28"/>
                <w:szCs w:val="28"/>
              </w:rPr>
            </w:pPr>
          </w:p>
        </w:tc>
        <w:tc>
          <w:tcPr>
            <w:tcW w:w="714" w:type="dxa"/>
          </w:tcPr>
          <w:p w14:paraId="2C833269">
            <w:pPr>
              <w:pStyle w:val="14"/>
              <w:ind w:firstLine="0" w:firstLineChars="0"/>
              <w:rPr>
                <w:rFonts w:hint="eastAsia" w:ascii="仿宋_GB2312" w:hAnsi="仿宋_GB2312" w:eastAsia="仿宋_GB2312" w:cs="仿宋_GB2312"/>
                <w:sz w:val="28"/>
                <w:szCs w:val="28"/>
              </w:rPr>
            </w:pPr>
          </w:p>
        </w:tc>
        <w:tc>
          <w:tcPr>
            <w:tcW w:w="708" w:type="dxa"/>
          </w:tcPr>
          <w:p w14:paraId="7C097D76">
            <w:pPr>
              <w:pStyle w:val="14"/>
              <w:ind w:firstLine="0" w:firstLineChars="0"/>
              <w:rPr>
                <w:rFonts w:hint="eastAsia" w:ascii="仿宋_GB2312" w:hAnsi="仿宋_GB2312" w:eastAsia="仿宋_GB2312" w:cs="仿宋_GB2312"/>
                <w:sz w:val="28"/>
                <w:szCs w:val="28"/>
              </w:rPr>
            </w:pPr>
          </w:p>
        </w:tc>
        <w:tc>
          <w:tcPr>
            <w:tcW w:w="1290" w:type="dxa"/>
          </w:tcPr>
          <w:p w14:paraId="1564319D">
            <w:pPr>
              <w:pStyle w:val="14"/>
              <w:ind w:firstLine="0" w:firstLineChars="0"/>
              <w:rPr>
                <w:rFonts w:hint="eastAsia" w:ascii="仿宋_GB2312" w:hAnsi="仿宋_GB2312" w:eastAsia="仿宋_GB2312" w:cs="仿宋_GB2312"/>
                <w:sz w:val="28"/>
                <w:szCs w:val="28"/>
              </w:rPr>
            </w:pPr>
          </w:p>
        </w:tc>
        <w:tc>
          <w:tcPr>
            <w:tcW w:w="1528" w:type="dxa"/>
          </w:tcPr>
          <w:p w14:paraId="105B25DC">
            <w:pPr>
              <w:pStyle w:val="14"/>
              <w:ind w:firstLine="0" w:firstLineChars="0"/>
              <w:rPr>
                <w:rFonts w:hint="eastAsia" w:ascii="仿宋_GB2312" w:hAnsi="仿宋_GB2312" w:eastAsia="仿宋_GB2312" w:cs="仿宋_GB2312"/>
                <w:sz w:val="28"/>
                <w:szCs w:val="28"/>
              </w:rPr>
            </w:pPr>
          </w:p>
        </w:tc>
        <w:tc>
          <w:tcPr>
            <w:tcW w:w="1627" w:type="dxa"/>
          </w:tcPr>
          <w:p w14:paraId="52DAFE41">
            <w:pPr>
              <w:pStyle w:val="14"/>
              <w:ind w:firstLine="0" w:firstLineChars="0"/>
              <w:rPr>
                <w:rFonts w:hint="eastAsia" w:ascii="仿宋_GB2312" w:hAnsi="仿宋_GB2312" w:eastAsia="仿宋_GB2312" w:cs="仿宋_GB2312"/>
                <w:sz w:val="28"/>
                <w:szCs w:val="28"/>
              </w:rPr>
            </w:pPr>
          </w:p>
        </w:tc>
      </w:tr>
    </w:tbl>
    <w:p w14:paraId="742FE991">
      <w:pPr>
        <w:pStyle w:val="14"/>
        <w:numPr>
          <w:ilvl w:val="0"/>
          <w:numId w:val="1"/>
        </w:numPr>
        <w:ind w:firstLineChars="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施工内容</w:t>
      </w:r>
      <w:r>
        <w:rPr>
          <w:rFonts w:hint="eastAsia" w:ascii="仿宋_GB2312" w:hAnsi="仿宋_GB2312" w:eastAsia="仿宋_GB2312" w:cs="仿宋_GB2312"/>
          <w:b/>
          <w:bCs/>
          <w:sz w:val="28"/>
          <w:szCs w:val="28"/>
        </w:rPr>
        <w:t>、地点和时间</w:t>
      </w:r>
    </w:p>
    <w:p w14:paraId="5278BB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kern w:val="2"/>
          <w:sz w:val="28"/>
          <w:szCs w:val="28"/>
          <w:lang w:val="en-US" w:eastAsia="zh-CN" w:bidi="ar-SA"/>
        </w:rPr>
        <w:t>1.施工内容：</w:t>
      </w:r>
      <w:r>
        <w:rPr>
          <w:rFonts w:hint="eastAsia" w:ascii="仿宋_GB2312" w:hAnsi="仿宋_GB2312" w:eastAsia="仿宋_GB2312" w:cs="仿宋_GB2312"/>
          <w:kern w:val="2"/>
          <w:sz w:val="28"/>
          <w:szCs w:val="28"/>
          <w:u w:val="single"/>
          <w:lang w:val="en-US" w:eastAsia="zh-CN" w:bidi="ar-SA"/>
        </w:rPr>
        <w:t xml:space="preserve">  见工程量清单（附件）   </w:t>
      </w:r>
    </w:p>
    <w:p w14:paraId="34F20B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2.施工地点：</w:t>
      </w:r>
      <w:r>
        <w:rPr>
          <w:rFonts w:hint="eastAsia" w:ascii="仿宋_GB2312" w:hAnsi="仿宋_GB2312" w:eastAsia="仿宋_GB2312" w:cs="仿宋_GB2312"/>
          <w:kern w:val="2"/>
          <w:sz w:val="28"/>
          <w:szCs w:val="28"/>
          <w:u w:val="single"/>
          <w:lang w:val="en-US" w:eastAsia="zh-CN" w:bidi="ar-SA"/>
        </w:rPr>
        <w:t xml:space="preserve">                </w:t>
      </w:r>
    </w:p>
    <w:p w14:paraId="2E3850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lang w:val="en-US" w:eastAsia="zh-CN" w:bidi="ar-SA"/>
        </w:rPr>
        <w:t>3.工期：</w:t>
      </w:r>
      <w:r>
        <w:rPr>
          <w:rFonts w:hint="eastAsia" w:ascii="仿宋_GB2312" w:hAnsi="仿宋_GB2312" w:eastAsia="仿宋_GB2312" w:cs="仿宋_GB2312"/>
          <w:kern w:val="2"/>
          <w:sz w:val="28"/>
          <w:szCs w:val="28"/>
          <w:u w:val="single"/>
          <w:lang w:val="en-US" w:eastAsia="zh-CN" w:bidi="ar-SA"/>
        </w:rPr>
        <w:t xml:space="preserve">  自合同签订之日起  日     </w:t>
      </w:r>
    </w:p>
    <w:p w14:paraId="3EF92C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kern w:val="2"/>
          <w:sz w:val="28"/>
          <w:szCs w:val="28"/>
          <w:u w:val="none"/>
          <w:lang w:val="en-US" w:eastAsia="zh-CN" w:bidi="ar-SA"/>
        </w:rPr>
      </w:pPr>
      <w:r>
        <w:rPr>
          <w:rFonts w:hint="eastAsia" w:ascii="仿宋_GB2312" w:hAnsi="仿宋_GB2312" w:eastAsia="仿宋_GB2312" w:cs="仿宋_GB2312"/>
          <w:b/>
          <w:bCs/>
          <w:kern w:val="2"/>
          <w:sz w:val="28"/>
          <w:szCs w:val="28"/>
          <w:u w:val="none"/>
          <w:lang w:val="en-US" w:eastAsia="zh-CN" w:bidi="ar-SA"/>
        </w:rPr>
        <w:t>三、资格要求：</w:t>
      </w:r>
    </w:p>
    <w:p w14:paraId="7AAB1B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u w:val="none"/>
          <w:lang w:val="en-US" w:eastAsia="zh-CN" w:bidi="ar-SA"/>
        </w:rPr>
        <w:t xml:space="preserve">   1.投标人资质：</w:t>
      </w:r>
      <w:r>
        <w:rPr>
          <w:rFonts w:hint="eastAsia" w:ascii="仿宋_GB2312" w:hAnsi="仿宋_GB2312" w:eastAsia="仿宋_GB2312" w:cs="仿宋_GB2312"/>
          <w:kern w:val="2"/>
          <w:sz w:val="28"/>
          <w:szCs w:val="28"/>
          <w:u w:val="single"/>
          <w:lang w:val="en-US" w:eastAsia="zh-CN" w:bidi="ar-SA"/>
        </w:rPr>
        <w:t xml:space="preserve">                 </w:t>
      </w:r>
    </w:p>
    <w:p w14:paraId="71AC63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kern w:val="2"/>
          <w:sz w:val="28"/>
          <w:szCs w:val="28"/>
          <w:u w:val="none"/>
          <w:lang w:val="en-US" w:eastAsia="zh-CN" w:bidi="ar-SA"/>
        </w:rPr>
        <w:t xml:space="preserve">   2.人员配备及资格要求：</w:t>
      </w:r>
      <w:r>
        <w:rPr>
          <w:rFonts w:hint="eastAsia" w:ascii="仿宋_GB2312" w:hAnsi="仿宋_GB2312" w:eastAsia="仿宋_GB2312" w:cs="仿宋_GB2312"/>
          <w:kern w:val="2"/>
          <w:sz w:val="28"/>
          <w:szCs w:val="28"/>
          <w:u w:val="single"/>
          <w:lang w:val="en-US" w:eastAsia="zh-CN" w:bidi="ar-SA"/>
        </w:rPr>
        <w:t xml:space="preserve">                </w:t>
      </w:r>
    </w:p>
    <w:p w14:paraId="116772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四、工程量计量要求</w:t>
      </w:r>
    </w:p>
    <w:p w14:paraId="59E859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default"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kern w:val="2"/>
          <w:sz w:val="28"/>
          <w:szCs w:val="28"/>
          <w:lang w:val="en-US" w:eastAsia="zh-CN" w:bidi="ar-SA"/>
        </w:rPr>
        <w:t>1.工程量的计量方式：</w:t>
      </w:r>
      <w:r>
        <w:rPr>
          <w:rFonts w:hint="eastAsia" w:ascii="仿宋_GB2312" w:hAnsi="仿宋_GB2312" w:eastAsia="仿宋_GB2312" w:cs="仿宋_GB2312"/>
          <w:color w:val="FF0000"/>
          <w:kern w:val="2"/>
          <w:sz w:val="28"/>
          <w:szCs w:val="28"/>
          <w:u w:val="single"/>
          <w:lang w:val="en-US" w:eastAsia="zh-CN" w:bidi="ar-SA"/>
        </w:rPr>
        <w:t xml:space="preserve">按实际完成的合格工程量计算    </w:t>
      </w:r>
    </w:p>
    <w:p w14:paraId="01AB7E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559" w:leftChars="266" w:right="0" w:firstLine="0" w:firstLineChars="0"/>
        <w:jc w:val="both"/>
        <w:textAlignment w:val="auto"/>
        <w:rPr>
          <w:rFonts w:hint="eastAsia"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kern w:val="2"/>
          <w:sz w:val="28"/>
          <w:szCs w:val="28"/>
          <w:u w:val="none"/>
          <w:lang w:val="en-US" w:eastAsia="zh-CN" w:bidi="ar-SA"/>
        </w:rPr>
        <w:t>2.结算方式：</w:t>
      </w:r>
    </w:p>
    <w:p w14:paraId="09EBC8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color w:val="FF0000"/>
          <w:kern w:val="2"/>
          <w:sz w:val="28"/>
          <w:szCs w:val="28"/>
          <w:u w:val="single"/>
          <w:lang w:val="en-US" w:eastAsia="zh-CN" w:bidi="ar-SA"/>
        </w:rPr>
        <w:t>（1）根据实际完成合格工程量按照中标下浮率</w:t>
      </w:r>
      <w:r>
        <w:rPr>
          <w:rFonts w:hint="default" w:ascii="仿宋_GB2312" w:hAnsi="仿宋_GB2312" w:eastAsia="仿宋_GB2312" w:cs="仿宋_GB2312"/>
          <w:color w:val="FF0000"/>
          <w:kern w:val="2"/>
          <w:sz w:val="28"/>
          <w:szCs w:val="28"/>
          <w:u w:val="single"/>
          <w:lang w:val="en-US" w:eastAsia="zh-CN" w:bidi="ar-SA"/>
        </w:rPr>
        <w:t>(</w:t>
      </w:r>
      <w:r>
        <w:rPr>
          <w:rFonts w:hint="eastAsia" w:ascii="仿宋_GB2312" w:hAnsi="仿宋_GB2312" w:eastAsia="仿宋_GB2312" w:cs="仿宋_GB2312"/>
          <w:color w:val="FF0000"/>
          <w:kern w:val="2"/>
          <w:sz w:val="28"/>
          <w:szCs w:val="28"/>
          <w:u w:val="single"/>
          <w:lang w:val="en-US" w:eastAsia="zh-CN" w:bidi="ar-SA"/>
        </w:rPr>
        <w:t>下浮率</w:t>
      </w:r>
      <w:r>
        <w:rPr>
          <w:rFonts w:hint="default" w:ascii="仿宋_GB2312" w:hAnsi="仿宋_GB2312" w:eastAsia="仿宋_GB2312" w:cs="仿宋_GB2312"/>
          <w:color w:val="FF0000"/>
          <w:kern w:val="2"/>
          <w:sz w:val="28"/>
          <w:szCs w:val="28"/>
          <w:u w:val="single"/>
          <w:lang w:val="en-US" w:eastAsia="zh-CN" w:bidi="ar-SA"/>
        </w:rPr>
        <w:t>=中标总价/预算总价</w:t>
      </w:r>
      <w:r>
        <w:rPr>
          <w:rFonts w:hint="eastAsia" w:ascii="仿宋_GB2312" w:hAnsi="仿宋_GB2312" w:eastAsia="仿宋_GB2312" w:cs="仿宋_GB2312"/>
          <w:color w:val="FF0000"/>
          <w:kern w:val="2"/>
          <w:sz w:val="28"/>
          <w:szCs w:val="28"/>
          <w:u w:val="single"/>
          <w:lang w:val="en-US" w:eastAsia="zh-CN" w:bidi="ar-SA"/>
        </w:rPr>
        <w:t>）进行结算。</w:t>
      </w:r>
    </w:p>
    <w:p w14:paraId="384998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right="300"/>
        <w:jc w:val="left"/>
        <w:rPr>
          <w:rFonts w:hint="default" w:ascii="仿宋_GB2312" w:hAnsi="仿宋_GB2312" w:eastAsia="仿宋_GB2312" w:cs="仿宋_GB2312"/>
          <w:color w:val="FF0000"/>
          <w:kern w:val="2"/>
          <w:sz w:val="28"/>
          <w:szCs w:val="28"/>
          <w:u w:val="single"/>
          <w:lang w:val="en-US" w:eastAsia="zh-CN" w:bidi="ar-SA"/>
        </w:rPr>
      </w:pPr>
      <w:r>
        <w:rPr>
          <w:rFonts w:hint="eastAsia" w:ascii="仿宋_GB2312" w:hAnsi="仿宋_GB2312" w:eastAsia="仿宋_GB2312" w:cs="仿宋_GB2312"/>
          <w:color w:val="FF0000"/>
          <w:kern w:val="2"/>
          <w:sz w:val="28"/>
          <w:szCs w:val="28"/>
          <w:u w:val="single"/>
          <w:lang w:val="en-US" w:eastAsia="zh-CN" w:bidi="ar-SA"/>
        </w:rPr>
        <w:t>（2）</w:t>
      </w:r>
      <w:r>
        <w:rPr>
          <w:rFonts w:hint="default" w:ascii="仿宋_GB2312" w:hAnsi="仿宋_GB2312" w:eastAsia="仿宋_GB2312" w:cs="仿宋_GB2312"/>
          <w:color w:val="FF0000"/>
          <w:kern w:val="2"/>
          <w:sz w:val="28"/>
          <w:szCs w:val="28"/>
          <w:u w:val="single"/>
          <w:lang w:val="en-US" w:eastAsia="zh-CN" w:bidi="ar-SA"/>
        </w:rPr>
        <w:t>变更</w:t>
      </w:r>
      <w:r>
        <w:rPr>
          <w:rFonts w:hint="eastAsia" w:ascii="仿宋_GB2312" w:hAnsi="仿宋_GB2312" w:eastAsia="仿宋_GB2312" w:cs="仿宋_GB2312"/>
          <w:color w:val="FF0000"/>
          <w:kern w:val="2"/>
          <w:sz w:val="28"/>
          <w:szCs w:val="28"/>
          <w:u w:val="single"/>
          <w:lang w:val="en-US" w:eastAsia="zh-CN" w:bidi="ar-SA"/>
        </w:rPr>
        <w:t>工程量</w:t>
      </w:r>
      <w:r>
        <w:rPr>
          <w:rFonts w:hint="default" w:ascii="仿宋_GB2312" w:hAnsi="仿宋_GB2312" w:eastAsia="仿宋_GB2312" w:cs="仿宋_GB2312"/>
          <w:color w:val="FF0000"/>
          <w:kern w:val="2"/>
          <w:sz w:val="28"/>
          <w:szCs w:val="28"/>
          <w:u w:val="single"/>
          <w:lang w:val="en-US" w:eastAsia="zh-CN" w:bidi="ar-SA"/>
        </w:rPr>
        <w:t>按照</w:t>
      </w:r>
      <w:r>
        <w:rPr>
          <w:rFonts w:hint="eastAsia" w:ascii="仿宋_GB2312" w:hAnsi="仿宋_GB2312" w:eastAsia="仿宋_GB2312" w:cs="仿宋_GB2312"/>
          <w:color w:val="FF0000"/>
          <w:kern w:val="2"/>
          <w:sz w:val="28"/>
          <w:szCs w:val="28"/>
          <w:u w:val="single"/>
          <w:lang w:val="en-US" w:eastAsia="zh-CN" w:bidi="ar-SA"/>
        </w:rPr>
        <w:t>以下</w:t>
      </w:r>
      <w:r>
        <w:rPr>
          <w:rFonts w:hint="default" w:ascii="仿宋_GB2312" w:hAnsi="仿宋_GB2312" w:eastAsia="仿宋_GB2312" w:cs="仿宋_GB2312"/>
          <w:color w:val="FF0000"/>
          <w:kern w:val="2"/>
          <w:sz w:val="28"/>
          <w:szCs w:val="28"/>
          <w:u w:val="single"/>
          <w:lang w:val="en-US" w:eastAsia="zh-CN" w:bidi="ar-SA"/>
        </w:rPr>
        <w:t>约定处理</w:t>
      </w:r>
      <w:r>
        <w:rPr>
          <w:rFonts w:hint="eastAsia" w:ascii="仿宋_GB2312" w:hAnsi="仿宋_GB2312" w:eastAsia="仿宋_GB2312" w:cs="仿宋_GB2312"/>
          <w:color w:val="FF0000"/>
          <w:kern w:val="2"/>
          <w:sz w:val="28"/>
          <w:szCs w:val="28"/>
          <w:u w:val="single"/>
          <w:lang w:val="en-US" w:eastAsia="zh-CN" w:bidi="ar-SA"/>
        </w:rPr>
        <w:t>：①</w:t>
      </w:r>
      <w:r>
        <w:rPr>
          <w:rFonts w:hint="default" w:ascii="仿宋_GB2312" w:hAnsi="仿宋_GB2312" w:eastAsia="仿宋_GB2312" w:cs="仿宋_GB2312"/>
          <w:color w:val="FF0000"/>
          <w:kern w:val="2"/>
          <w:sz w:val="28"/>
          <w:szCs w:val="28"/>
          <w:u w:val="single"/>
          <w:lang w:val="en-US" w:eastAsia="zh-CN" w:bidi="ar-SA"/>
        </w:rPr>
        <w:t>已标价工程量清单或预算清单/合同清单有相同项目的，按照相同项目单价认定；</w:t>
      </w:r>
      <w:r>
        <w:rPr>
          <w:rFonts w:hint="eastAsia" w:ascii="仿宋_GB2312" w:hAnsi="仿宋_GB2312" w:eastAsia="仿宋_GB2312" w:cs="仿宋_GB2312"/>
          <w:color w:val="FF0000"/>
          <w:kern w:val="2"/>
          <w:sz w:val="28"/>
          <w:szCs w:val="28"/>
          <w:u w:val="single"/>
          <w:lang w:val="en-US" w:eastAsia="zh-CN" w:bidi="ar-SA"/>
        </w:rPr>
        <w:t>②</w:t>
      </w:r>
      <w:r>
        <w:rPr>
          <w:rFonts w:hint="default" w:ascii="仿宋_GB2312" w:hAnsi="仿宋_GB2312" w:eastAsia="仿宋_GB2312" w:cs="仿宋_GB2312"/>
          <w:color w:val="FF0000"/>
          <w:kern w:val="2"/>
          <w:sz w:val="28"/>
          <w:szCs w:val="28"/>
          <w:u w:val="single"/>
          <w:lang w:val="en-US" w:eastAsia="zh-CN" w:bidi="ar-SA"/>
        </w:rPr>
        <w:t>已标价工程量清单或预算清单/合同清单中无相同项目，但有类似项目的，参照类似项目的单价认定；</w:t>
      </w:r>
      <w:r>
        <w:rPr>
          <w:rFonts w:hint="eastAsia" w:ascii="仿宋_GB2312" w:hAnsi="仿宋_GB2312" w:eastAsia="仿宋_GB2312" w:cs="仿宋_GB2312"/>
          <w:color w:val="FF0000"/>
          <w:kern w:val="2"/>
          <w:sz w:val="28"/>
          <w:szCs w:val="28"/>
          <w:u w:val="single"/>
          <w:lang w:val="en-US" w:eastAsia="zh-CN" w:bidi="ar-SA"/>
        </w:rPr>
        <w:t>③</w:t>
      </w:r>
      <w:r>
        <w:rPr>
          <w:rFonts w:hint="default" w:ascii="仿宋_GB2312" w:hAnsi="仿宋_GB2312" w:eastAsia="仿宋_GB2312" w:cs="仿宋_GB2312"/>
          <w:color w:val="FF0000"/>
          <w:kern w:val="2"/>
          <w:sz w:val="28"/>
          <w:szCs w:val="28"/>
          <w:u w:val="single"/>
          <w:lang w:val="en-US" w:eastAsia="zh-CN" w:bidi="ar-SA"/>
        </w:rPr>
        <w:t>己标价工程量清单中无适用，且无类似子目的单价，按本项目预算价编制依据的有关计价规定和编制办法确定的综合单价后；若无相应的定额子目或材料价格时，由</w:t>
      </w:r>
      <w:r>
        <w:rPr>
          <w:rFonts w:hint="eastAsia" w:ascii="仿宋_GB2312" w:hAnsi="仿宋_GB2312" w:eastAsia="仿宋_GB2312" w:cs="仿宋_GB2312"/>
          <w:color w:val="FF0000"/>
          <w:kern w:val="2"/>
          <w:sz w:val="28"/>
          <w:szCs w:val="28"/>
          <w:u w:val="single"/>
          <w:lang w:val="en-US" w:eastAsia="zh-CN" w:bidi="ar-SA"/>
        </w:rPr>
        <w:t>业主方</w:t>
      </w:r>
      <w:r>
        <w:rPr>
          <w:rFonts w:hint="default" w:ascii="仿宋_GB2312" w:hAnsi="仿宋_GB2312" w:eastAsia="仿宋_GB2312" w:cs="仿宋_GB2312"/>
          <w:color w:val="FF0000"/>
          <w:kern w:val="2"/>
          <w:sz w:val="28"/>
          <w:szCs w:val="28"/>
          <w:u w:val="single"/>
          <w:lang w:val="en-US" w:eastAsia="zh-CN" w:bidi="ar-SA"/>
        </w:rPr>
        <w:t>确定项目单价同意后执行；</w:t>
      </w:r>
      <w:r>
        <w:rPr>
          <w:rFonts w:hint="eastAsia" w:ascii="仿宋_GB2312" w:hAnsi="仿宋_GB2312" w:eastAsia="仿宋_GB2312" w:cs="仿宋_GB2312"/>
          <w:color w:val="FF0000"/>
          <w:kern w:val="2"/>
          <w:sz w:val="28"/>
          <w:szCs w:val="28"/>
          <w:u w:val="single"/>
          <w:lang w:val="en-US" w:eastAsia="zh-CN" w:bidi="ar-SA"/>
        </w:rPr>
        <w:t>④</w:t>
      </w:r>
      <w:r>
        <w:rPr>
          <w:rFonts w:hint="default" w:ascii="仿宋_GB2312" w:hAnsi="仿宋_GB2312" w:eastAsia="仿宋_GB2312" w:cs="仿宋_GB2312"/>
          <w:color w:val="FF0000"/>
          <w:kern w:val="2"/>
          <w:sz w:val="28"/>
          <w:szCs w:val="28"/>
          <w:u w:val="single"/>
          <w:lang w:val="en-US" w:eastAsia="zh-CN" w:bidi="ar-SA"/>
        </w:rPr>
        <w:t>因变更引起的价格调整应计入结算款中支付。</w:t>
      </w:r>
    </w:p>
    <w:p w14:paraId="55A278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五、</w:t>
      </w: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技术和服务要求</w:t>
      </w:r>
      <w:r>
        <w:rPr>
          <w:rFonts w:hint="eastAsia" w:ascii="仿宋_GB2312" w:hAnsi="仿宋_GB2312" w:eastAsia="仿宋_GB2312" w:cs="仿宋_GB2312"/>
          <w:color w:val="FF0000"/>
          <w:kern w:val="2"/>
          <w:sz w:val="28"/>
          <w:szCs w:val="28"/>
          <w:lang w:val="en-US" w:eastAsia="zh-CN" w:bidi="ar-SA"/>
        </w:rPr>
        <w:t>（可修改或增减条款）</w:t>
      </w:r>
    </w:p>
    <w:p w14:paraId="54E641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1.施工技术标准及要求：</w:t>
      </w:r>
    </w:p>
    <w:p w14:paraId="03C5B390">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（1）</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人须拟定文明安全施工措施。在施工期间必须服从采购人安排，根据措施文明施工，保持施工现场整洁卫生，损坏物品须照价赔偿或负责修复；</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人须承诺施工过程中的安全责任等均由</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人自行负责，出现任何安全事故，</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人须负全责。</w:t>
      </w:r>
    </w:p>
    <w:p w14:paraId="6130D82C">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人必须严格按照工程量清单、</w:t>
      </w:r>
      <w:r>
        <w:rPr>
          <w:rFonts w:hint="eastAsia" w:ascii="仿宋_GB2312" w:hAnsi="仿宋_GB2312" w:eastAsia="仿宋_GB2312" w:cs="仿宋_GB2312"/>
          <w:color w:val="FF0000"/>
          <w:sz w:val="28"/>
          <w:szCs w:val="28"/>
          <w:lang w:eastAsia="zh-CN"/>
        </w:rPr>
        <w:t>采购</w:t>
      </w:r>
      <w:r>
        <w:rPr>
          <w:rFonts w:hint="eastAsia" w:ascii="仿宋_GB2312" w:hAnsi="仿宋_GB2312" w:eastAsia="仿宋_GB2312" w:cs="仿宋_GB2312"/>
          <w:color w:val="FF0000"/>
          <w:sz w:val="28"/>
          <w:szCs w:val="28"/>
        </w:rPr>
        <w:t>文件、技术标准、国家颁布的施工规范和福建省有关现行管理办法及地方标准进行施工安装，保证工程质量达到合格标准，否则采购人有权提出返工和补救要求，直到质量达到合格标准，而由此产生的一切损失（包括延误工期罚款）和施工费用均由</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人负责，不得有异议。</w:t>
      </w:r>
    </w:p>
    <w:p w14:paraId="00E3CE28">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rPr>
        <w:t>实际施工中，城市供电、供水部门的正常停电、停水（24小时之内）影响工期时，采购人不作现场签证。但对以下原因造成竣工日期推迟的延误，经采购人现场代表确认后，工期相应顺延，即如果由于：一周内非</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人原因造成停工累计48小时、不可抗力、合同中约定或采购人现场确认同意顺延的。</w:t>
      </w:r>
    </w:p>
    <w:p w14:paraId="7DC1361F">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人应按国家及有关行政主管部门的要求和规定，承担施工安全保卫工作和提供相应设施（如护板、围栏、安全网、指示牌等）以满足安全保卫工作及非夜间施工照明的需要。</w:t>
      </w:r>
    </w:p>
    <w:p w14:paraId="41BA2350">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人须办理的有关施工场地交通、环卫和施工噪音管理等手续，</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人应按规定办理。因</w:t>
      </w:r>
      <w:r>
        <w:rPr>
          <w:rFonts w:hint="eastAsia" w:ascii="仿宋_GB2312" w:hAnsi="仿宋_GB2312" w:eastAsia="仿宋_GB2312" w:cs="仿宋_GB2312"/>
          <w:color w:val="FF0000"/>
          <w:sz w:val="28"/>
          <w:szCs w:val="28"/>
          <w:lang w:eastAsia="zh-CN"/>
        </w:rPr>
        <w:t>中标人</w:t>
      </w:r>
      <w:r>
        <w:rPr>
          <w:rFonts w:hint="eastAsia" w:ascii="仿宋_GB2312" w:hAnsi="仿宋_GB2312" w:eastAsia="仿宋_GB2312" w:cs="仿宋_GB2312"/>
          <w:color w:val="FF0000"/>
          <w:sz w:val="28"/>
          <w:szCs w:val="28"/>
        </w:rPr>
        <w:t>自身原因或违反有关规定所造成的损失和罚款，费用由</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人承担</w:t>
      </w:r>
      <w:r>
        <w:rPr>
          <w:rFonts w:hint="eastAsia" w:ascii="仿宋_GB2312" w:hAnsi="仿宋_GB2312" w:eastAsia="仿宋_GB2312" w:cs="仿宋_GB2312"/>
          <w:color w:val="FF0000"/>
          <w:sz w:val="28"/>
          <w:szCs w:val="28"/>
          <w:lang w:eastAsia="zh-CN"/>
        </w:rPr>
        <w:t>。</w:t>
      </w:r>
    </w:p>
    <w:p w14:paraId="1576BAD1">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本工程在竣工验收前由</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人负责采取措施保护，在保护期间发生的损坏，由</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人负责修复并承担费用。</w:t>
      </w:r>
    </w:p>
    <w:p w14:paraId="4CE84E60">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（8）</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人应按时、按质、按量完成施工任务，否则所造成采购人的损失由</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人赔偿。</w:t>
      </w:r>
    </w:p>
    <w:p w14:paraId="66ED75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color w:val="FF0000"/>
          <w:kern w:val="2"/>
          <w:sz w:val="28"/>
          <w:szCs w:val="28"/>
          <w:lang w:val="en-US" w:eastAsia="zh-CN" w:bidi="ar-SA"/>
        </w:rPr>
        <w:t>（9）其他要求：</w:t>
      </w:r>
    </w:p>
    <w:p w14:paraId="521EE039">
      <w:pPr>
        <w:pStyle w:val="13"/>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、验收</w:t>
      </w:r>
      <w:r>
        <w:rPr>
          <w:rFonts w:hint="eastAsia" w:ascii="仿宋_GB2312" w:hAnsi="仿宋_GB2312" w:eastAsia="仿宋_GB2312" w:cs="仿宋_GB2312"/>
          <w:b w:val="0"/>
          <w:bCs/>
          <w:sz w:val="28"/>
          <w:szCs w:val="28"/>
          <w:lang w:eastAsia="zh-CN"/>
        </w:rPr>
        <w:t>要求</w:t>
      </w:r>
    </w:p>
    <w:p w14:paraId="343AD22A">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1</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采购人根据</w:t>
      </w:r>
      <w:r>
        <w:rPr>
          <w:rFonts w:hint="eastAsia" w:ascii="仿宋_GB2312" w:hAnsi="仿宋_GB2312" w:eastAsia="仿宋_GB2312" w:cs="仿宋_GB2312"/>
          <w:color w:val="FF0000"/>
          <w:sz w:val="28"/>
          <w:szCs w:val="28"/>
          <w:lang w:eastAsia="zh-CN"/>
        </w:rPr>
        <w:t>采购</w:t>
      </w:r>
      <w:r>
        <w:rPr>
          <w:rFonts w:hint="eastAsia" w:ascii="仿宋_GB2312" w:hAnsi="仿宋_GB2312" w:eastAsia="仿宋_GB2312" w:cs="仿宋_GB2312"/>
          <w:color w:val="FF0000"/>
          <w:sz w:val="28"/>
          <w:szCs w:val="28"/>
        </w:rPr>
        <w:t>文件、</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人的响应文件及与</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人签订的采购合同进行数量、质量、性能等方面的验收。</w:t>
      </w:r>
    </w:p>
    <w:p w14:paraId="10C445A3">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工程质量应达到国家现行《工程施工质量验收规范》的合格标准，如未达到，须按</w:t>
      </w:r>
      <w:r>
        <w:rPr>
          <w:rFonts w:hint="eastAsia" w:ascii="仿宋_GB2312" w:hAnsi="仿宋_GB2312" w:eastAsia="仿宋_GB2312" w:cs="仿宋_GB2312"/>
          <w:color w:val="FF0000"/>
          <w:sz w:val="28"/>
          <w:szCs w:val="28"/>
          <w:lang w:eastAsia="zh-CN"/>
        </w:rPr>
        <w:t>采购</w:t>
      </w:r>
      <w:r>
        <w:rPr>
          <w:rFonts w:hint="eastAsia" w:ascii="仿宋_GB2312" w:hAnsi="仿宋_GB2312" w:eastAsia="仿宋_GB2312" w:cs="仿宋_GB2312"/>
          <w:color w:val="FF0000"/>
          <w:sz w:val="28"/>
          <w:szCs w:val="28"/>
        </w:rPr>
        <w:t>文件要求拆除原材料重新施工直至验收合格为止。</w:t>
      </w:r>
    </w:p>
    <w:p w14:paraId="5845311E">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3</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人在采购人现场进行最终验收所发生的一切费用均包含在报价总价中。</w:t>
      </w:r>
    </w:p>
    <w:p w14:paraId="7E9C5045">
      <w:pPr>
        <w:pStyle w:val="13"/>
        <w:keepNext w:val="0"/>
        <w:keepLines w:val="0"/>
        <w:pageBreakBefore w:val="0"/>
        <w:kinsoku/>
        <w:wordWrap/>
        <w:overflowPunct/>
        <w:topLinePunct w:val="0"/>
        <w:autoSpaceDE/>
        <w:autoSpaceDN/>
        <w:bidi w:val="0"/>
        <w:adjustRightInd/>
        <w:snapToGrid/>
        <w:spacing w:line="240" w:lineRule="auto"/>
        <w:ind w:firstLine="480"/>
        <w:jc w:val="left"/>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工程验收由采购</w:t>
      </w:r>
      <w:r>
        <w:rPr>
          <w:rFonts w:hint="eastAsia" w:ascii="仿宋_GB2312" w:hAnsi="仿宋_GB2312" w:eastAsia="仿宋_GB2312" w:cs="仿宋_GB2312"/>
          <w:color w:val="FF0000"/>
          <w:sz w:val="28"/>
          <w:szCs w:val="28"/>
          <w:lang w:eastAsia="zh-CN"/>
        </w:rPr>
        <w:t>单位</w:t>
      </w:r>
      <w:r>
        <w:rPr>
          <w:rFonts w:hint="eastAsia" w:ascii="仿宋_GB2312" w:hAnsi="仿宋_GB2312" w:eastAsia="仿宋_GB2312" w:cs="仿宋_GB2312"/>
          <w:color w:val="FF0000"/>
          <w:sz w:val="28"/>
          <w:szCs w:val="28"/>
        </w:rPr>
        <w:t>组织相关职能部门进行，验收合格后</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人可向采购人办理移交手续。</w:t>
      </w:r>
    </w:p>
    <w:p w14:paraId="642CFF2C">
      <w:pPr>
        <w:pStyle w:val="13"/>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3</w:t>
      </w:r>
      <w:r>
        <w:rPr>
          <w:rFonts w:hint="eastAsia" w:ascii="仿宋_GB2312" w:hAnsi="仿宋_GB2312" w:eastAsia="仿宋_GB2312" w:cs="仿宋_GB2312"/>
          <w:b w:val="0"/>
          <w:bCs/>
          <w:sz w:val="28"/>
          <w:szCs w:val="28"/>
        </w:rPr>
        <w:t>、质保期</w:t>
      </w:r>
    </w:p>
    <w:p w14:paraId="2EEF147D">
      <w:pPr>
        <w:pStyle w:val="13"/>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本项目</w:t>
      </w:r>
      <w:r>
        <w:rPr>
          <w:rFonts w:hint="eastAsia" w:ascii="仿宋_GB2312" w:hAnsi="仿宋_GB2312" w:eastAsia="仿宋_GB2312" w:cs="仿宋_GB2312"/>
          <w:color w:val="000000"/>
          <w:sz w:val="28"/>
          <w:szCs w:val="28"/>
          <w:lang w:eastAsia="zh-CN"/>
        </w:rPr>
        <w:t>预留</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sz w:val="28"/>
          <w:szCs w:val="28"/>
          <w:lang w:val="en-US" w:eastAsia="zh-CN"/>
        </w:rPr>
        <w:t>价的3%作为质量保证金，</w:t>
      </w:r>
      <w:r>
        <w:rPr>
          <w:rFonts w:hint="eastAsia" w:ascii="仿宋_GB2312" w:hAnsi="仿宋_GB2312" w:eastAsia="仿宋_GB2312" w:cs="仿宋_GB2312"/>
          <w:color w:val="000000"/>
          <w:sz w:val="28"/>
          <w:szCs w:val="28"/>
        </w:rPr>
        <w:t>质保期</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年，从最终验收合格签字之日起计算。</w:t>
      </w:r>
    </w:p>
    <w:p w14:paraId="006C6C3A">
      <w:pPr>
        <w:pStyle w:val="13"/>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质保期内，出现质量问题，</w:t>
      </w:r>
      <w:r>
        <w:rPr>
          <w:rFonts w:hint="eastAsia" w:ascii="仿宋_GB2312" w:hAnsi="仿宋_GB2312" w:eastAsia="仿宋_GB2312" w:cs="仿宋_GB2312"/>
          <w:color w:val="FF0000"/>
          <w:sz w:val="28"/>
          <w:szCs w:val="28"/>
          <w:lang w:eastAsia="zh-CN"/>
        </w:rPr>
        <w:t>中标人</w:t>
      </w:r>
      <w:r>
        <w:rPr>
          <w:rFonts w:hint="eastAsia" w:ascii="仿宋_GB2312" w:hAnsi="仿宋_GB2312" w:eastAsia="仿宋_GB2312" w:cs="仿宋_GB2312"/>
          <w:color w:val="FF0000"/>
          <w:sz w:val="28"/>
          <w:szCs w:val="28"/>
        </w:rPr>
        <w:t>须在</w:t>
      </w:r>
      <w:r>
        <w:rPr>
          <w:rFonts w:hint="eastAsia" w:ascii="仿宋_GB2312" w:hAnsi="仿宋_GB2312" w:eastAsia="仿宋_GB2312" w:cs="仿宋_GB2312"/>
          <w:color w:val="FF0000"/>
          <w:sz w:val="28"/>
          <w:szCs w:val="28"/>
          <w:lang w:val="en-US" w:eastAsia="zh-CN"/>
        </w:rPr>
        <w:t>1</w:t>
      </w:r>
      <w:r>
        <w:rPr>
          <w:rFonts w:hint="eastAsia" w:ascii="仿宋_GB2312" w:hAnsi="仿宋_GB2312" w:eastAsia="仿宋_GB2312" w:cs="仿宋_GB2312"/>
          <w:color w:val="FF0000"/>
          <w:sz w:val="28"/>
          <w:szCs w:val="28"/>
        </w:rPr>
        <w:t>小时内响应，</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小时抵达现场并处理问题。在质保期内发生的质量问题均由</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人负责修复，费用由</w:t>
      </w:r>
      <w:r>
        <w:rPr>
          <w:rFonts w:hint="eastAsia" w:ascii="仿宋_GB2312" w:hAnsi="仿宋_GB2312" w:eastAsia="仿宋_GB2312" w:cs="仿宋_GB2312"/>
          <w:color w:val="FF0000"/>
          <w:sz w:val="28"/>
          <w:szCs w:val="28"/>
          <w:lang w:eastAsia="zh-CN"/>
        </w:rPr>
        <w:t>中标</w:t>
      </w:r>
      <w:r>
        <w:rPr>
          <w:rFonts w:hint="eastAsia" w:ascii="仿宋_GB2312" w:hAnsi="仿宋_GB2312" w:eastAsia="仿宋_GB2312" w:cs="仿宋_GB2312"/>
          <w:color w:val="FF0000"/>
          <w:sz w:val="28"/>
          <w:szCs w:val="28"/>
        </w:rPr>
        <w:t>人承担</w:t>
      </w:r>
      <w:r>
        <w:rPr>
          <w:rFonts w:hint="eastAsia" w:ascii="仿宋_GB2312" w:hAnsi="仿宋_GB2312" w:eastAsia="仿宋_GB2312" w:cs="仿宋_GB2312"/>
          <w:color w:val="FF0000"/>
          <w:sz w:val="28"/>
          <w:szCs w:val="28"/>
          <w:lang w:eastAsia="zh-CN"/>
        </w:rPr>
        <w:t>。</w:t>
      </w:r>
    </w:p>
    <w:p w14:paraId="502C3823">
      <w:pPr>
        <w:pStyle w:val="2"/>
        <w:keepNext w:val="0"/>
        <w:keepLines w:val="0"/>
        <w:pageBreakBefore w:val="0"/>
        <w:kinsoku/>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b w:val="0"/>
          <w:bCs w:val="0"/>
          <w:color w:val="FF0000"/>
          <w:sz w:val="28"/>
          <w:szCs w:val="28"/>
          <w:lang w:val="en-US" w:eastAsia="zh-CN"/>
        </w:rPr>
        <w:t>4.售后服务</w:t>
      </w:r>
    </w:p>
    <w:p w14:paraId="67F94D76">
      <w:pPr>
        <w:pStyle w:val="2"/>
        <w:keepNext w:val="0"/>
        <w:keepLines w:val="0"/>
        <w:pageBreakBefore w:val="0"/>
        <w:kinsoku/>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color w:val="FF0000"/>
          <w:kern w:val="0"/>
          <w:sz w:val="28"/>
          <w:szCs w:val="28"/>
          <w:lang w:val="en-US" w:eastAsia="zh-CN" w:bidi="ar-SA"/>
        </w:rPr>
        <w:t>中标</w:t>
      </w:r>
      <w:r>
        <w:rPr>
          <w:rFonts w:hint="eastAsia" w:ascii="仿宋_GB2312" w:hAnsi="仿宋_GB2312" w:eastAsia="仿宋_GB2312" w:cs="仿宋_GB2312"/>
          <w:color w:val="FF0000"/>
          <w:kern w:val="0"/>
          <w:sz w:val="28"/>
          <w:szCs w:val="28"/>
          <w:lang w:val="en-US" w:eastAsia="zh-Hans" w:bidi="ar-SA"/>
        </w:rPr>
        <w:t>供应商可视自身能力提供更优、更合理的售后服务承诺。</w:t>
      </w:r>
    </w:p>
    <w:p w14:paraId="1D3680F3">
      <w:pPr>
        <w:pStyle w:val="14"/>
        <w:keepNext w:val="0"/>
        <w:keepLines w:val="0"/>
        <w:pageBreakBefore w:val="0"/>
        <w:numPr>
          <w:ilvl w:val="0"/>
          <w:numId w:val="0"/>
        </w:numPr>
        <w:kinsoku/>
        <w:overflowPunct/>
        <w:topLinePunct w:val="0"/>
        <w:autoSpaceDE/>
        <w:autoSpaceDN/>
        <w:bidi w:val="0"/>
        <w:adjustRightInd/>
        <w:snapToGrid/>
        <w:spacing w:line="240" w:lineRule="auto"/>
        <w:ind w:lef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资金支付方式、时间和条件</w:t>
      </w:r>
    </w:p>
    <w:p w14:paraId="669A6CB7">
      <w:pPr>
        <w:pStyle w:val="14"/>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验收合格后十五日内付</w:t>
      </w:r>
      <w:r>
        <w:rPr>
          <w:rFonts w:hint="eastAsia" w:ascii="仿宋_GB2312" w:hAnsi="仿宋_GB2312" w:eastAsia="仿宋_GB2312" w:cs="仿宋_GB2312"/>
          <w:color w:val="FF0000"/>
          <w:sz w:val="28"/>
          <w:szCs w:val="28"/>
          <w:lang w:eastAsia="zh-CN"/>
        </w:rPr>
        <w:t>至已完成合格工程量金额的</w:t>
      </w:r>
      <w:r>
        <w:rPr>
          <w:rFonts w:hint="eastAsia" w:ascii="仿宋_GB2312" w:hAnsi="仿宋_GB2312" w:eastAsia="仿宋_GB2312" w:cs="仿宋_GB2312"/>
          <w:color w:val="FF0000"/>
          <w:sz w:val="28"/>
          <w:szCs w:val="28"/>
          <w:u w:val="single"/>
          <w:lang w:val="en-US" w:eastAsia="zh-CN"/>
        </w:rPr>
        <w:t xml:space="preserve">     </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eastAsia="zh-CN"/>
        </w:rPr>
        <w:t>结算审核后付至审核价的</w:t>
      </w:r>
      <w:r>
        <w:rPr>
          <w:rFonts w:hint="eastAsia" w:ascii="仿宋_GB2312" w:hAnsi="仿宋_GB2312" w:eastAsia="仿宋_GB2312" w:cs="仿宋_GB2312"/>
          <w:color w:val="FF0000"/>
          <w:sz w:val="28"/>
          <w:szCs w:val="28"/>
          <w:u w:val="single"/>
          <w:lang w:val="en-US" w:eastAsia="zh-CN"/>
        </w:rPr>
        <w:t xml:space="preserve">    </w:t>
      </w:r>
      <w:r>
        <w:rPr>
          <w:rFonts w:hint="eastAsia" w:ascii="仿宋_GB2312" w:hAnsi="仿宋_GB2312" w:eastAsia="仿宋_GB2312" w:cs="仿宋_GB2312"/>
          <w:color w:val="FF0000"/>
          <w:sz w:val="28"/>
          <w:szCs w:val="28"/>
          <w:u w:val="none"/>
          <w:lang w:val="en-US" w:eastAsia="zh-CN"/>
        </w:rPr>
        <w:t>，</w:t>
      </w:r>
      <w:r>
        <w:rPr>
          <w:rFonts w:hint="eastAsia" w:ascii="仿宋_GB2312" w:hAnsi="仿宋_GB2312" w:eastAsia="仿宋_GB2312" w:cs="仿宋_GB2312"/>
          <w:color w:val="FF0000"/>
          <w:sz w:val="28"/>
          <w:szCs w:val="28"/>
          <w:lang w:eastAsia="zh-CN"/>
        </w:rPr>
        <w:t>质保期满且复验合格后退还该项目质量保证金。</w:t>
      </w:r>
      <w:r>
        <w:rPr>
          <w:rFonts w:hint="eastAsia" w:ascii="仿宋_GB2312" w:hAnsi="仿宋_GB2312" w:eastAsia="仿宋_GB2312" w:cs="仿宋_GB2312"/>
          <w:color w:val="FF0000"/>
          <w:sz w:val="28"/>
          <w:szCs w:val="28"/>
        </w:rPr>
        <w:t>支付方式为银行转账，</w:t>
      </w:r>
      <w:r>
        <w:rPr>
          <w:rFonts w:hint="eastAsia" w:ascii="仿宋_GB2312" w:hAnsi="仿宋_GB2312" w:eastAsia="仿宋_GB2312" w:cs="仿宋_GB2312"/>
          <w:color w:val="FF0000"/>
          <w:sz w:val="28"/>
          <w:szCs w:val="28"/>
          <w:lang w:val="en-US" w:eastAsia="zh-CN"/>
        </w:rPr>
        <w:t>中标人</w:t>
      </w:r>
      <w:r>
        <w:rPr>
          <w:rFonts w:hint="eastAsia" w:ascii="仿宋_GB2312" w:hAnsi="仿宋_GB2312" w:eastAsia="仿宋_GB2312" w:cs="仿宋_GB2312"/>
          <w:color w:val="FF0000"/>
          <w:sz w:val="28"/>
          <w:szCs w:val="28"/>
        </w:rPr>
        <w:t>须提供正式的税务发票。</w:t>
      </w:r>
    </w:p>
    <w:p w14:paraId="644DB4FA">
      <w:pPr>
        <w:pStyle w:val="14"/>
        <w:numPr>
          <w:ilvl w:val="0"/>
          <w:numId w:val="0"/>
        </w:numPr>
        <w:ind w:left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七、</w:t>
      </w:r>
      <w:r>
        <w:rPr>
          <w:rFonts w:hint="eastAsia" w:ascii="仿宋_GB2312" w:hAnsi="仿宋_GB2312" w:eastAsia="仿宋_GB2312" w:cs="仿宋_GB2312"/>
          <w:b/>
          <w:bCs/>
          <w:sz w:val="28"/>
          <w:szCs w:val="28"/>
        </w:rPr>
        <w:t>履约保证金</w:t>
      </w:r>
    </w:p>
    <w:p w14:paraId="61ED1654">
      <w:pPr>
        <w:pStyle w:val="14"/>
        <w:numPr>
          <w:ilvl w:val="0"/>
          <w:numId w:val="0"/>
        </w:numPr>
        <w:ind w:firstLine="560"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color w:val="FF0000"/>
          <w:kern w:val="0"/>
          <w:sz w:val="28"/>
          <w:szCs w:val="28"/>
          <w:lang w:val="en-US" w:eastAsia="zh-CN" w:bidi="ar-SA"/>
        </w:rPr>
        <w:t>□ 本项目不收取履约保证金。</w:t>
      </w:r>
    </w:p>
    <w:p w14:paraId="535D38FE">
      <w:pPr>
        <w:pStyle w:val="6"/>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color w:val="FF0000"/>
          <w:kern w:val="0"/>
          <w:sz w:val="28"/>
          <w:szCs w:val="28"/>
          <w:lang w:val="en-US" w:eastAsia="zh-CN" w:bidi="ar-SA"/>
        </w:rPr>
        <w:t>□ 本项目收取履约保证金，成交人须在收到中标通知书之日起五个工作日内向采购人缴纳中标金额</w:t>
      </w:r>
      <w:r>
        <w:rPr>
          <w:rFonts w:hint="eastAsia" w:ascii="仿宋_GB2312" w:hAnsi="仿宋_GB2312" w:eastAsia="仿宋_GB2312" w:cs="仿宋_GB2312"/>
          <w:color w:val="FF0000"/>
          <w:kern w:val="0"/>
          <w:sz w:val="28"/>
          <w:szCs w:val="28"/>
          <w:u w:val="single"/>
          <w:lang w:val="en-US" w:eastAsia="zh-CN" w:bidi="ar-SA"/>
        </w:rPr>
        <w:t xml:space="preserve">     %</w:t>
      </w:r>
      <w:r>
        <w:rPr>
          <w:rFonts w:hint="eastAsia" w:ascii="仿宋_GB2312" w:hAnsi="仿宋_GB2312" w:eastAsia="仿宋_GB2312" w:cs="仿宋_GB2312"/>
          <w:color w:val="FF0000"/>
          <w:kern w:val="0"/>
          <w:sz w:val="28"/>
          <w:szCs w:val="28"/>
          <w:lang w:val="en-US" w:eastAsia="zh-CN" w:bidi="ar-SA"/>
        </w:rPr>
        <w:t>的履约保证金。履约保证金可以银行转账、电汇、保函等任一方式提交（开户银行：农业银行武夷山市支行营业部；开户名称：武夷学院；银行账号：13970101040011043）。如果是以保函形式缴纳履约保证金的，中标人必须开具见索即付(无条件支付)银行保函。履约保证金在项目验收合格且无未了事宜后无息退还，中标方如不按规定签订合同或不按合同履行义务，履约保证金不予退还，若对采购方造成的损失超过履约保证金还应对超出部分予以赔偿。</w:t>
      </w:r>
    </w:p>
    <w:p w14:paraId="1F7F6FF1">
      <w:pPr>
        <w:pStyle w:val="14"/>
        <w:numPr>
          <w:ilvl w:val="0"/>
          <w:numId w:val="0"/>
        </w:numPr>
        <w:ind w:left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违约责任</w:t>
      </w:r>
    </w:p>
    <w:p w14:paraId="2B95ED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48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1.非不可抗力因素造成的工期延误，中标方人每延误工期（实际工期讫止时间为合同签订之日至通过合格验收之日止计）1天，偿付延期赔偿金</w:t>
      </w:r>
      <w:r>
        <w:rPr>
          <w:rFonts w:hint="eastAsia" w:ascii="仿宋_GB2312" w:hAnsi="仿宋_GB2312" w:eastAsia="仿宋_GB2312" w:cs="仿宋_GB2312"/>
          <w:kern w:val="0"/>
          <w:sz w:val="28"/>
          <w:szCs w:val="28"/>
          <w:u w:val="single"/>
          <w:lang w:val="en-US" w:eastAsia="zh-CN" w:bidi="ar-SA"/>
        </w:rPr>
        <w:t xml:space="preserve">     </w:t>
      </w:r>
      <w:r>
        <w:rPr>
          <w:rFonts w:hint="eastAsia" w:ascii="仿宋_GB2312" w:hAnsi="仿宋_GB2312" w:eastAsia="仿宋_GB2312" w:cs="仿宋_GB2312"/>
          <w:kern w:val="0"/>
          <w:sz w:val="28"/>
          <w:szCs w:val="28"/>
          <w:lang w:val="en-US" w:eastAsia="zh-CN" w:bidi="ar-SA"/>
        </w:rPr>
        <w:t>元，该款项可从合同款扣除。</w:t>
      </w:r>
      <w:r>
        <w:rPr>
          <w:rFonts w:hint="eastAsia" w:ascii="仿宋_GB2312" w:hAnsi="仿宋_GB2312" w:eastAsia="仿宋_GB2312" w:cs="仿宋_GB2312"/>
          <w:kern w:val="0"/>
          <w:sz w:val="28"/>
          <w:szCs w:val="28"/>
          <w:lang w:val="en-US" w:eastAsia="zh-Hans" w:bidi="ar-SA"/>
        </w:rPr>
        <w:t>逾期超过</w:t>
      </w:r>
      <w:r>
        <w:rPr>
          <w:rFonts w:hint="eastAsia" w:ascii="仿宋_GB2312" w:hAnsi="仿宋_GB2312" w:eastAsia="仿宋_GB2312" w:cs="仿宋_GB2312"/>
          <w:kern w:val="0"/>
          <w:sz w:val="28"/>
          <w:szCs w:val="28"/>
          <w:lang w:val="en-US" w:eastAsia="zh-CN" w:bidi="ar-SA"/>
        </w:rPr>
        <w:t>中标金额</w:t>
      </w:r>
      <w:r>
        <w:rPr>
          <w:rFonts w:hint="eastAsia" w:ascii="仿宋_GB2312" w:hAnsi="仿宋_GB2312" w:eastAsia="仿宋_GB2312" w:cs="仿宋_GB2312"/>
          <w:kern w:val="0"/>
          <w:sz w:val="28"/>
          <w:szCs w:val="28"/>
          <w:lang w:val="en-US" w:eastAsia="zh-Hans" w:bidi="ar-SA"/>
        </w:rPr>
        <w:t>的</w:t>
      </w:r>
      <w:r>
        <w:rPr>
          <w:rFonts w:hint="eastAsia" w:ascii="仿宋_GB2312" w:hAnsi="仿宋_GB2312" w:eastAsia="仿宋_GB2312" w:cs="仿宋_GB2312"/>
          <w:kern w:val="0"/>
          <w:sz w:val="28"/>
          <w:szCs w:val="28"/>
          <w:u w:val="single"/>
          <w:lang w:val="en-US" w:eastAsia="zh-CN" w:bidi="ar-SA"/>
        </w:rPr>
        <w:t xml:space="preserve">     </w:t>
      </w:r>
      <w:r>
        <w:rPr>
          <w:rFonts w:hint="eastAsia" w:ascii="仿宋_GB2312" w:hAnsi="仿宋_GB2312" w:eastAsia="仿宋_GB2312" w:cs="仿宋_GB2312"/>
          <w:kern w:val="0"/>
          <w:sz w:val="28"/>
          <w:szCs w:val="28"/>
          <w:lang w:val="en-US" w:eastAsia="zh-Hans" w:bidi="ar-SA"/>
        </w:rPr>
        <w:t>，采购人有权解除合同</w:t>
      </w:r>
      <w:r>
        <w:rPr>
          <w:rFonts w:hint="eastAsia" w:ascii="仿宋_GB2312" w:hAnsi="仿宋_GB2312" w:eastAsia="仿宋_GB2312" w:cs="仿宋_GB2312"/>
          <w:kern w:val="0"/>
          <w:sz w:val="28"/>
          <w:szCs w:val="28"/>
          <w:lang w:val="en-US" w:eastAsia="zh-CN" w:bidi="ar-SA"/>
        </w:rPr>
        <w:t>。</w:t>
      </w:r>
    </w:p>
    <w:p w14:paraId="230A84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2.中标人所履行的服务不符合合同规定及《采购文件》规定标准的，采购人有权拒绝，中标人愿意整改但逾期履行的，按中标人逾期履行处理。中标人拒绝整改的，视为“中标人不按合同约定履约”</w:t>
      </w:r>
    </w:p>
    <w:p w14:paraId="1C5789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color w:val="FF0000"/>
          <w:kern w:val="0"/>
          <w:sz w:val="28"/>
          <w:szCs w:val="28"/>
          <w:lang w:val="en-US" w:eastAsia="zh-CN" w:bidi="ar-SA"/>
        </w:rPr>
      </w:pPr>
      <w:r>
        <w:rPr>
          <w:rFonts w:hint="eastAsia" w:ascii="仿宋_GB2312" w:hAnsi="仿宋_GB2312" w:eastAsia="仿宋_GB2312" w:cs="仿宋_GB2312"/>
          <w:kern w:val="0"/>
          <w:sz w:val="28"/>
          <w:szCs w:val="28"/>
          <w:lang w:val="en-US" w:eastAsia="zh-CN" w:bidi="ar-SA"/>
        </w:rPr>
        <w:t>3.</w:t>
      </w:r>
      <w:r>
        <w:rPr>
          <w:rFonts w:hint="eastAsia" w:ascii="仿宋_GB2312" w:hAnsi="仿宋_GB2312" w:eastAsia="仿宋_GB2312" w:cs="仿宋_GB2312"/>
          <w:kern w:val="2"/>
          <w:sz w:val="28"/>
          <w:szCs w:val="28"/>
          <w:lang w:val="en-US" w:eastAsia="zh-CN" w:bidi="ar-SA"/>
        </w:rPr>
        <w:t>中标人不按合同约定履约的，采购人可以解除采购合同，</w:t>
      </w:r>
      <w:r>
        <w:rPr>
          <w:rFonts w:hint="eastAsia" w:ascii="仿宋_GB2312" w:hAnsi="仿宋_GB2312" w:eastAsia="仿宋_GB2312" w:cs="仿宋_GB2312"/>
          <w:color w:val="FF0000"/>
          <w:kern w:val="2"/>
          <w:sz w:val="28"/>
          <w:szCs w:val="28"/>
          <w:lang w:val="en-US" w:eastAsia="zh-CN" w:bidi="ar-SA"/>
        </w:rPr>
        <w:t>且中标人还须向采购人支付</w:t>
      </w:r>
      <w:r>
        <w:rPr>
          <w:rFonts w:hint="eastAsia" w:ascii="仿宋_GB2312" w:hAnsi="仿宋_GB2312" w:eastAsia="仿宋_GB2312" w:cs="仿宋_GB2312"/>
          <w:color w:val="FF0000"/>
          <w:kern w:val="2"/>
          <w:sz w:val="28"/>
          <w:szCs w:val="28"/>
          <w:u w:val="none"/>
          <w:lang w:val="en-US" w:eastAsia="zh-CN" w:bidi="ar-SA"/>
        </w:rPr>
        <w:t>合同总金额</w:t>
      </w:r>
      <w:r>
        <w:rPr>
          <w:rFonts w:hint="eastAsia" w:ascii="仿宋_GB2312" w:hAnsi="仿宋_GB2312" w:eastAsia="仿宋_GB2312" w:cs="仿宋_GB2312"/>
          <w:color w:val="FF0000"/>
          <w:kern w:val="2"/>
          <w:sz w:val="28"/>
          <w:szCs w:val="28"/>
          <w:u w:val="single"/>
          <w:lang w:val="en-US" w:eastAsia="zh-CN" w:bidi="ar-SA"/>
        </w:rPr>
        <w:t xml:space="preserve">    %</w:t>
      </w:r>
      <w:r>
        <w:rPr>
          <w:rFonts w:hint="eastAsia" w:ascii="仿宋_GB2312" w:hAnsi="仿宋_GB2312" w:eastAsia="仿宋_GB2312" w:cs="仿宋_GB2312"/>
          <w:color w:val="FF0000"/>
          <w:kern w:val="2"/>
          <w:sz w:val="28"/>
          <w:szCs w:val="28"/>
          <w:u w:val="none"/>
          <w:lang w:val="en-US" w:eastAsia="zh-CN" w:bidi="ar-SA"/>
        </w:rPr>
        <w:t>的违约金（或</w:t>
      </w:r>
      <w:r>
        <w:rPr>
          <w:rFonts w:hint="eastAsia" w:ascii="仿宋_GB2312" w:hAnsi="仿宋_GB2312" w:eastAsia="仿宋_GB2312" w:cs="仿宋_GB2312"/>
          <w:color w:val="FF0000"/>
          <w:kern w:val="2"/>
          <w:sz w:val="28"/>
          <w:szCs w:val="28"/>
          <w:u w:val="single"/>
          <w:lang w:val="en-US" w:eastAsia="zh-CN" w:bidi="ar-SA"/>
        </w:rPr>
        <w:t xml:space="preserve">    </w:t>
      </w:r>
      <w:r>
        <w:rPr>
          <w:rFonts w:hint="eastAsia" w:ascii="仿宋_GB2312" w:hAnsi="仿宋_GB2312" w:eastAsia="仿宋_GB2312" w:cs="仿宋_GB2312"/>
          <w:color w:val="FF0000"/>
          <w:kern w:val="2"/>
          <w:sz w:val="28"/>
          <w:szCs w:val="28"/>
          <w:u w:val="none"/>
          <w:lang w:val="en-US" w:eastAsia="zh-CN" w:bidi="ar-SA"/>
        </w:rPr>
        <w:t>元的违约金）。</w:t>
      </w:r>
    </w:p>
    <w:p w14:paraId="76EDF2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4.其他违约情形</w:t>
      </w:r>
    </w:p>
    <w:p w14:paraId="0D4F16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280" w:firstLineChars="1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0"/>
          <w:sz w:val="28"/>
          <w:szCs w:val="28"/>
          <w:lang w:val="en-US" w:eastAsia="zh-CN" w:bidi="ar-SA"/>
        </w:rPr>
        <w:t>附件：项目工程量清单</w:t>
      </w:r>
    </w:p>
    <w:p w14:paraId="2F71F5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lang w:val="en-US" w:eastAsia="zh-CN" w:bidi="ar-SA"/>
        </w:rPr>
      </w:pPr>
    </w:p>
    <w:p w14:paraId="358254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lang w:val="en-US" w:eastAsia="zh-CN" w:bidi="ar-SA"/>
        </w:rPr>
      </w:pPr>
    </w:p>
    <w:p w14:paraId="748012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FF0000"/>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评分办法</w:t>
      </w:r>
      <w:r>
        <w:rPr>
          <w:rFonts w:hint="eastAsia" w:ascii="仿宋_GB2312" w:hAnsi="仿宋_GB2312" w:eastAsia="仿宋_GB2312" w:cs="仿宋_GB2312"/>
          <w:color w:val="FF0000"/>
          <w:kern w:val="2"/>
          <w:sz w:val="28"/>
          <w:szCs w:val="28"/>
          <w:lang w:val="en-US" w:eastAsia="zh-CN" w:bidi="ar-SA"/>
        </w:rPr>
        <w:t>（综合评分法需填写，其他的直接删除）</w:t>
      </w:r>
    </w:p>
    <w:p w14:paraId="472B4D76">
      <w:pPr>
        <w:pStyle w:val="9"/>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color w:val="FF0000"/>
          <w:sz w:val="24"/>
          <w:szCs w:val="24"/>
          <w:u w:val="single"/>
          <w:lang w:val="en-US" w:eastAsia="zh-CN"/>
        </w:rPr>
        <w:t>10%-30%</w:t>
      </w:r>
      <w:r>
        <w:rPr>
          <w:rFonts w:hint="eastAsia" w:ascii="宋体" w:hAnsi="宋体" w:eastAsia="宋体" w:cs="宋体"/>
          <w:sz w:val="24"/>
          <w:szCs w:val="24"/>
        </w:rPr>
        <w:t>分。</w:t>
      </w:r>
    </w:p>
    <w:p w14:paraId="04EE8B4A">
      <w:pPr>
        <w:pStyle w:val="9"/>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分。</w:t>
      </w:r>
    </w:p>
    <w:tbl>
      <w:tblPr>
        <w:tblStyle w:val="11"/>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0"/>
        <w:gridCol w:w="538"/>
        <w:gridCol w:w="7013"/>
      </w:tblGrid>
      <w:tr w14:paraId="6BC1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760" w:type="dxa"/>
            <w:noWrap w:val="0"/>
            <w:vAlign w:val="center"/>
          </w:tcPr>
          <w:p w14:paraId="6B902ED8">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38" w:type="dxa"/>
            <w:noWrap w:val="0"/>
            <w:vAlign w:val="center"/>
          </w:tcPr>
          <w:p w14:paraId="49802B0A">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013" w:type="dxa"/>
            <w:noWrap w:val="0"/>
            <w:vAlign w:val="center"/>
          </w:tcPr>
          <w:p w14:paraId="7F286C18">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3A80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vAlign w:val="center"/>
          </w:tcPr>
          <w:p w14:paraId="4F4E040E">
            <w:pPr>
              <w:keepNext w:val="0"/>
              <w:keepLines w:val="0"/>
              <w:widowControl/>
              <w:suppressLineNumbers w:val="0"/>
              <w:jc w:val="left"/>
            </w:pPr>
            <w:r>
              <w:rPr>
                <w:rFonts w:hint="eastAsia" w:ascii="宋体" w:hAnsi="宋体" w:eastAsia="宋体" w:cs="宋体"/>
                <w:kern w:val="0"/>
                <w:sz w:val="24"/>
                <w:szCs w:val="24"/>
                <w:lang w:val="en-US" w:eastAsia="zh-CN" w:bidi="ar"/>
              </w:rPr>
              <w:t xml:space="preserve"> </w:t>
            </w:r>
          </w:p>
        </w:tc>
        <w:tc>
          <w:tcPr>
            <w:tcW w:w="538" w:type="dxa"/>
            <w:noWrap w:val="0"/>
            <w:vAlign w:val="center"/>
          </w:tcPr>
          <w:p w14:paraId="7D0B59ED">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 xml:space="preserve"> </w:t>
            </w:r>
          </w:p>
        </w:tc>
        <w:tc>
          <w:tcPr>
            <w:tcW w:w="0" w:type="auto"/>
            <w:noWrap w:val="0"/>
            <w:vAlign w:val="center"/>
          </w:tcPr>
          <w:p w14:paraId="74B7542C">
            <w:pPr>
              <w:keepNext w:val="0"/>
              <w:keepLines w:val="0"/>
              <w:widowControl/>
              <w:suppressLineNumbers w:val="0"/>
              <w:jc w:val="left"/>
            </w:pPr>
            <w:r>
              <w:rPr>
                <w:rFonts w:hint="eastAsia" w:ascii="宋体" w:hAnsi="宋体" w:eastAsia="宋体" w:cs="宋体"/>
                <w:kern w:val="0"/>
                <w:sz w:val="24"/>
                <w:szCs w:val="24"/>
                <w:lang w:val="en-US" w:eastAsia="zh-CN" w:bidi="ar"/>
              </w:rPr>
              <w:t xml:space="preserve"> </w:t>
            </w:r>
          </w:p>
        </w:tc>
      </w:tr>
    </w:tbl>
    <w:p w14:paraId="67162659">
      <w:pPr>
        <w:pStyle w:val="9"/>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分。</w:t>
      </w:r>
    </w:p>
    <w:tbl>
      <w:tblPr>
        <w:tblStyle w:val="11"/>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318"/>
        <w:gridCol w:w="7301"/>
      </w:tblGrid>
      <w:tr w14:paraId="5731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692" w:type="dxa"/>
            <w:noWrap w:val="0"/>
            <w:vAlign w:val="center"/>
          </w:tcPr>
          <w:p w14:paraId="17F5A2B9">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18" w:type="dxa"/>
            <w:noWrap w:val="0"/>
            <w:vAlign w:val="center"/>
          </w:tcPr>
          <w:p w14:paraId="1D2E443D">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301" w:type="dxa"/>
            <w:noWrap w:val="0"/>
            <w:vAlign w:val="center"/>
          </w:tcPr>
          <w:p w14:paraId="0527336B">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14:paraId="310C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vAlign w:val="center"/>
          </w:tcPr>
          <w:p w14:paraId="3D33F415">
            <w:pPr>
              <w:keepNext w:val="0"/>
              <w:keepLines w:val="0"/>
              <w:widowControl/>
              <w:suppressLineNumbers w:val="0"/>
              <w:jc w:val="left"/>
            </w:pPr>
          </w:p>
        </w:tc>
        <w:tc>
          <w:tcPr>
            <w:tcW w:w="318" w:type="dxa"/>
            <w:noWrap w:val="0"/>
            <w:vAlign w:val="center"/>
          </w:tcPr>
          <w:p w14:paraId="5CD43ED5">
            <w:pPr>
              <w:keepNext w:val="0"/>
              <w:keepLines w:val="0"/>
              <w:widowControl/>
              <w:suppressLineNumbers w:val="0"/>
              <w:jc w:val="left"/>
            </w:pPr>
          </w:p>
        </w:tc>
        <w:tc>
          <w:tcPr>
            <w:tcW w:w="0" w:type="auto"/>
            <w:noWrap w:val="0"/>
            <w:vAlign w:val="center"/>
          </w:tcPr>
          <w:p w14:paraId="47B1E806">
            <w:pPr>
              <w:keepNext w:val="0"/>
              <w:keepLines w:val="0"/>
              <w:widowControl/>
              <w:suppressLineNumbers w:val="0"/>
              <w:jc w:val="left"/>
            </w:pPr>
          </w:p>
        </w:tc>
      </w:tr>
    </w:tbl>
    <w:p w14:paraId="3F64BAA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kern w:val="2"/>
          <w:sz w:val="28"/>
          <w:szCs w:val="28"/>
          <w:lang w:val="en-US" w:eastAsia="zh-CN" w:bidi="ar-SA"/>
        </w:rPr>
      </w:pPr>
    </w:p>
    <w:p w14:paraId="7AA3EA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w:t>
      </w:r>
    </w:p>
    <w:p w14:paraId="74D88699">
      <w:pPr>
        <w:rPr>
          <w:rFonts w:hint="default"/>
          <w:lang w:val="en-US" w:eastAsia="zh-CN"/>
        </w:rPr>
      </w:pPr>
      <w:r>
        <w:rPr>
          <w:rFonts w:hint="eastAsia" w:ascii="仿宋_GB2312" w:hAnsi="仿宋_GB2312" w:eastAsia="仿宋_GB2312" w:cs="仿宋_GB2312"/>
          <w:kern w:val="2"/>
          <w:sz w:val="28"/>
          <w:szCs w:val="28"/>
          <w:lang w:val="en-US" w:eastAsia="zh-CN" w:bidi="ar-SA"/>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EA2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EF18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3EF18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A6522"/>
    <w:multiLevelType w:val="multilevel"/>
    <w:tmpl w:val="29CA652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2M3ZTU4YTdiZTE5MzViMjlkZTJhNGVlZDQxMjgifQ=="/>
  </w:docVars>
  <w:rsids>
    <w:rsidRoot w:val="1CFF3E0E"/>
    <w:rsid w:val="036D6CED"/>
    <w:rsid w:val="05AA2F4D"/>
    <w:rsid w:val="06F07179"/>
    <w:rsid w:val="0A835EAE"/>
    <w:rsid w:val="0B2E43FE"/>
    <w:rsid w:val="0CD65E68"/>
    <w:rsid w:val="11DD7967"/>
    <w:rsid w:val="1A9C6BCC"/>
    <w:rsid w:val="1AF04860"/>
    <w:rsid w:val="1BC76F13"/>
    <w:rsid w:val="1CFF3E0E"/>
    <w:rsid w:val="205917DC"/>
    <w:rsid w:val="22726395"/>
    <w:rsid w:val="237C21E9"/>
    <w:rsid w:val="2498007F"/>
    <w:rsid w:val="24AE0058"/>
    <w:rsid w:val="268816D1"/>
    <w:rsid w:val="2718101F"/>
    <w:rsid w:val="2F2A282C"/>
    <w:rsid w:val="2F2D07B2"/>
    <w:rsid w:val="2F797CEC"/>
    <w:rsid w:val="344F280E"/>
    <w:rsid w:val="36801850"/>
    <w:rsid w:val="416127B6"/>
    <w:rsid w:val="433D775A"/>
    <w:rsid w:val="44791915"/>
    <w:rsid w:val="46741062"/>
    <w:rsid w:val="47AC31AC"/>
    <w:rsid w:val="4C265EB6"/>
    <w:rsid w:val="4E4E7C4D"/>
    <w:rsid w:val="4FB73380"/>
    <w:rsid w:val="50C7139E"/>
    <w:rsid w:val="52C0364A"/>
    <w:rsid w:val="53A67D45"/>
    <w:rsid w:val="54B85357"/>
    <w:rsid w:val="56B13352"/>
    <w:rsid w:val="588A258E"/>
    <w:rsid w:val="59337A21"/>
    <w:rsid w:val="5E3B447F"/>
    <w:rsid w:val="5E9A18E4"/>
    <w:rsid w:val="600862ED"/>
    <w:rsid w:val="606B4F76"/>
    <w:rsid w:val="63D42D3F"/>
    <w:rsid w:val="672B32E8"/>
    <w:rsid w:val="67837FD4"/>
    <w:rsid w:val="67911DC7"/>
    <w:rsid w:val="68B17BB0"/>
    <w:rsid w:val="6F667367"/>
    <w:rsid w:val="768B4EC5"/>
    <w:rsid w:val="79521D2D"/>
    <w:rsid w:val="7A343A80"/>
    <w:rsid w:val="7C7239FB"/>
    <w:rsid w:val="7FE1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line="400" w:lineRule="exact"/>
      <w:ind w:firstLine="480" w:firstLineChars="200"/>
    </w:pPr>
    <w:rPr>
      <w:szCs w:val="24"/>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2382</Words>
  <Characters>2426</Characters>
  <Lines>0</Lines>
  <Paragraphs>0</Paragraphs>
  <TotalTime>0</TotalTime>
  <ScaleCrop>false</ScaleCrop>
  <LinksUpToDate>false</LinksUpToDate>
  <CharactersWithSpaces>2675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2023-03-07T03:26:00Z</dcterms:created>
  <dc:creator>蓝荣萍</dc:creator>
  <cp:lastModifiedBy>呈羽踪</cp:lastModifiedBy>
  <dcterms:modified xsi:type="dcterms:W3CDTF">2026-06-15T08:24:07Z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D07407D893D74A2582B2973476AA34AA_13</vt:lpwstr>
  </property>
  <property fmtid="{D5CDD505-2E9C-101B-9397-08002B2CF9AE}" pid="4" name="KSOTemplateDocerSaveRecord">
    <vt:lpwstr>eyJoZGlkIjoiNGQ0M2M3ZTU4YTdiZTE5MzViMjlkZTJhNGVlZDQxMjgiLCJ1c2VySWQiOiI4NzY4MTMwMjAifQ==</vt:lpwstr>
  </property>
</Properties>
</file>