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BB94">
      <w:pPr>
        <w:pStyle w:val="11"/>
        <w:jc w:val="center"/>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val="0"/>
          <w:bCs w:val="0"/>
          <w:sz w:val="32"/>
          <w:szCs w:val="32"/>
          <w:u w:val="single"/>
        </w:rPr>
        <w:t xml:space="preserve">        </w:t>
      </w:r>
      <w:r>
        <w:rPr>
          <w:rFonts w:hint="eastAsia" w:ascii="方正小标宋简体" w:hAnsi="方正小标宋简体" w:eastAsia="方正小标宋简体" w:cs="方正小标宋简体"/>
          <w:b w:val="0"/>
          <w:bCs w:val="0"/>
          <w:sz w:val="32"/>
          <w:szCs w:val="32"/>
        </w:rPr>
        <w:t>学院（部门）</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u w:val="none"/>
          <w:lang w:val="en-US" w:eastAsia="zh-CN"/>
        </w:rPr>
        <w:t>项目</w:t>
      </w:r>
      <w:r>
        <w:rPr>
          <w:rFonts w:hint="eastAsia" w:ascii="方正小标宋简体" w:hAnsi="方正小标宋简体" w:eastAsia="方正小标宋简体" w:cs="方正小标宋简体"/>
          <w:b w:val="0"/>
          <w:bCs w:val="0"/>
          <w:sz w:val="32"/>
          <w:szCs w:val="32"/>
        </w:rPr>
        <w:t>采购</w:t>
      </w:r>
      <w:r>
        <w:rPr>
          <w:rFonts w:hint="eastAsia" w:ascii="方正小标宋简体" w:hAnsi="方正小标宋简体" w:eastAsia="方正小标宋简体" w:cs="方正小标宋简体"/>
          <w:b/>
          <w:sz w:val="32"/>
          <w:szCs w:val="32"/>
          <w:lang w:val="en-US" w:eastAsia="zh-CN"/>
        </w:rPr>
        <w:t>方案（服务类）</w:t>
      </w:r>
    </w:p>
    <w:p w14:paraId="43A2DA6E">
      <w:pPr>
        <w:pStyle w:val="11"/>
        <w:jc w:val="left"/>
        <w:rPr>
          <w:rFonts w:hint="eastAsia" w:ascii="仿宋_GB2312" w:hAnsi="仿宋_GB2312" w:eastAsia="仿宋_GB2312" w:cs="仿宋_GB2312"/>
          <w:b/>
          <w:bCs/>
          <w:kern w:val="2"/>
          <w:sz w:val="28"/>
          <w:szCs w:val="28"/>
          <w:lang w:val="en-US" w:eastAsia="zh-CN" w:bidi="ar-SA"/>
        </w:rPr>
      </w:pPr>
    </w:p>
    <w:p w14:paraId="2B235DD1">
      <w:pPr>
        <w:pStyle w:val="11"/>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本项目专门面向：1、□ 中小（微）企业   2、□ 小微企业。</w:t>
      </w:r>
    </w:p>
    <w:p w14:paraId="26357350">
      <w:pPr>
        <w:pStyle w:val="11"/>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本项目符合以下第</w:t>
      </w:r>
      <w:r>
        <w:rPr>
          <w:rFonts w:hint="eastAsia" w:ascii="仿宋_GB2312" w:hAnsi="仿宋_GB2312" w:eastAsia="仿宋_GB2312" w:cs="仿宋_GB2312"/>
          <w:b/>
          <w:bCs/>
          <w:kern w:val="2"/>
          <w:sz w:val="28"/>
          <w:szCs w:val="28"/>
          <w:u w:val="single"/>
          <w:lang w:val="en-US" w:eastAsia="zh-CN" w:bidi="ar-SA"/>
        </w:rPr>
        <w:t xml:space="preserve">     </w:t>
      </w:r>
      <w:r>
        <w:rPr>
          <w:rFonts w:hint="eastAsia" w:ascii="仿宋_GB2312" w:hAnsi="仿宋_GB2312" w:eastAsia="仿宋_GB2312" w:cs="仿宋_GB2312"/>
          <w:b/>
          <w:bCs/>
          <w:kern w:val="2"/>
          <w:sz w:val="28"/>
          <w:szCs w:val="28"/>
          <w:u w:val="none"/>
          <w:lang w:val="en-US" w:eastAsia="zh-CN" w:bidi="ar-SA"/>
        </w:rPr>
        <w:t>点情形，</w:t>
      </w:r>
      <w:r>
        <w:rPr>
          <w:rFonts w:hint="eastAsia" w:ascii="仿宋_GB2312" w:hAnsi="仿宋_GB2312" w:eastAsia="仿宋_GB2312" w:cs="仿宋_GB2312"/>
          <w:b/>
          <w:bCs/>
          <w:kern w:val="2"/>
          <w:sz w:val="28"/>
          <w:szCs w:val="28"/>
          <w:lang w:val="en-US" w:eastAsia="zh-CN" w:bidi="ar-SA"/>
        </w:rPr>
        <w:t>不专门面向中小（微）企业。</w:t>
      </w:r>
    </w:p>
    <w:p w14:paraId="38B2AC3F">
      <w:pPr>
        <w:pStyle w:val="11"/>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（一）法律法规和国家有关政策明确规定优先或者应当面向事业单位、社会组织等非企业主体采购的；</w:t>
      </w:r>
    </w:p>
    <w:p w14:paraId="143B936F">
      <w:pPr>
        <w:pStyle w:val="11"/>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（二）因确需使用不可替代的专利、专有技术，基础设施限制，或者提供特定公共服务等原因，只能从中小企业之外的供应商处采购的；</w:t>
      </w:r>
    </w:p>
    <w:p w14:paraId="51E3F429">
      <w:pPr>
        <w:pStyle w:val="11"/>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（三）按照本办法规定预留采购份额无法确保充分供应、充分竞争，或者存在可能影响政府采购目标实现的情形；</w:t>
      </w:r>
    </w:p>
    <w:p w14:paraId="52868021">
      <w:pPr>
        <w:pStyle w:val="11"/>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（四）框架协议采购项目；</w:t>
      </w:r>
    </w:p>
    <w:p w14:paraId="17E833BD">
      <w:pPr>
        <w:pStyle w:val="11"/>
        <w:jc w:val="left"/>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（五）省级以上人民政府财政部门规定的其他情形。</w:t>
      </w:r>
    </w:p>
    <w:p w14:paraId="7ACA4C19">
      <w:pPr>
        <w:pStyle w:val="12"/>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采购项目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可添加行</w:t>
      </w:r>
      <w:r>
        <w:rPr>
          <w:rFonts w:hint="eastAsia" w:ascii="仿宋_GB2312" w:hAnsi="仿宋_GB2312" w:eastAsia="仿宋_GB2312" w:cs="仿宋_GB2312"/>
          <w:b/>
          <w:bCs/>
          <w:sz w:val="28"/>
          <w:szCs w:val="28"/>
          <w:lang w:eastAsia="zh-CN"/>
        </w:rPr>
        <w:t>）</w:t>
      </w:r>
    </w:p>
    <w:tbl>
      <w:tblPr>
        <w:tblStyle w:val="9"/>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219"/>
        <w:gridCol w:w="600"/>
        <w:gridCol w:w="595"/>
        <w:gridCol w:w="1195"/>
        <w:gridCol w:w="1365"/>
        <w:gridCol w:w="1290"/>
        <w:gridCol w:w="1173"/>
      </w:tblGrid>
      <w:tr w14:paraId="6A0F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7" w:type="dxa"/>
            <w:vAlign w:val="center"/>
          </w:tcPr>
          <w:p w14:paraId="4B1D239C">
            <w:pPr>
              <w:pStyle w:val="1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19" w:type="dxa"/>
            <w:vAlign w:val="center"/>
          </w:tcPr>
          <w:p w14:paraId="68C72FC2">
            <w:pPr>
              <w:pStyle w:val="12"/>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600" w:type="dxa"/>
            <w:vAlign w:val="center"/>
          </w:tcPr>
          <w:p w14:paraId="20F06C5B">
            <w:pPr>
              <w:pStyle w:val="1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95" w:type="dxa"/>
            <w:vAlign w:val="center"/>
          </w:tcPr>
          <w:p w14:paraId="23E4FD1B">
            <w:pPr>
              <w:pStyle w:val="1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95" w:type="dxa"/>
            <w:vAlign w:val="center"/>
          </w:tcPr>
          <w:p w14:paraId="0383CEF2">
            <w:pPr>
              <w:pStyle w:val="12"/>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预算</w:t>
            </w:r>
            <w:r>
              <w:rPr>
                <w:rFonts w:hint="eastAsia" w:ascii="仿宋_GB2312" w:hAnsi="仿宋_GB2312" w:eastAsia="仿宋_GB2312" w:cs="仿宋_GB2312"/>
                <w:sz w:val="24"/>
                <w:szCs w:val="24"/>
                <w:lang w:val="en-US" w:eastAsia="zh-CN"/>
              </w:rPr>
              <w:t>单价</w:t>
            </w:r>
          </w:p>
        </w:tc>
        <w:tc>
          <w:tcPr>
            <w:tcW w:w="1365" w:type="dxa"/>
            <w:vAlign w:val="center"/>
          </w:tcPr>
          <w:p w14:paraId="2F1C0365">
            <w:pPr>
              <w:pStyle w:val="12"/>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预算总价</w:t>
            </w:r>
          </w:p>
        </w:tc>
        <w:tc>
          <w:tcPr>
            <w:tcW w:w="1290" w:type="dxa"/>
            <w:vAlign w:val="center"/>
          </w:tcPr>
          <w:p w14:paraId="311A53B5">
            <w:pPr>
              <w:pStyle w:val="12"/>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所属行业</w:t>
            </w:r>
          </w:p>
        </w:tc>
        <w:tc>
          <w:tcPr>
            <w:tcW w:w="1173" w:type="dxa"/>
            <w:vAlign w:val="center"/>
          </w:tcPr>
          <w:p w14:paraId="429A87CD">
            <w:pPr>
              <w:pStyle w:val="1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r>
      <w:tr w14:paraId="6CE0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57" w:type="dxa"/>
            <w:vAlign w:val="center"/>
          </w:tcPr>
          <w:p w14:paraId="0C729480">
            <w:pPr>
              <w:pStyle w:val="1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19" w:type="dxa"/>
          </w:tcPr>
          <w:p w14:paraId="1A464467">
            <w:pPr>
              <w:pStyle w:val="12"/>
              <w:ind w:firstLine="0" w:firstLineChars="0"/>
              <w:rPr>
                <w:rFonts w:hint="eastAsia" w:ascii="仿宋_GB2312" w:hAnsi="仿宋_GB2312" w:eastAsia="仿宋_GB2312" w:cs="仿宋_GB2312"/>
                <w:sz w:val="28"/>
                <w:szCs w:val="28"/>
              </w:rPr>
            </w:pPr>
          </w:p>
        </w:tc>
        <w:tc>
          <w:tcPr>
            <w:tcW w:w="600" w:type="dxa"/>
          </w:tcPr>
          <w:p w14:paraId="5E722765">
            <w:pPr>
              <w:pStyle w:val="12"/>
              <w:ind w:firstLine="0" w:firstLineChars="0"/>
              <w:rPr>
                <w:rFonts w:hint="eastAsia" w:ascii="仿宋_GB2312" w:hAnsi="仿宋_GB2312" w:eastAsia="仿宋_GB2312" w:cs="仿宋_GB2312"/>
                <w:sz w:val="28"/>
                <w:szCs w:val="28"/>
              </w:rPr>
            </w:pPr>
          </w:p>
        </w:tc>
        <w:tc>
          <w:tcPr>
            <w:tcW w:w="595" w:type="dxa"/>
          </w:tcPr>
          <w:p w14:paraId="0BD03F52">
            <w:pPr>
              <w:pStyle w:val="12"/>
              <w:ind w:firstLine="0" w:firstLineChars="0"/>
              <w:rPr>
                <w:rFonts w:hint="eastAsia" w:ascii="仿宋_GB2312" w:hAnsi="仿宋_GB2312" w:eastAsia="仿宋_GB2312" w:cs="仿宋_GB2312"/>
                <w:sz w:val="28"/>
                <w:szCs w:val="28"/>
              </w:rPr>
            </w:pPr>
          </w:p>
        </w:tc>
        <w:tc>
          <w:tcPr>
            <w:tcW w:w="1195" w:type="dxa"/>
          </w:tcPr>
          <w:p w14:paraId="42044CAE">
            <w:pPr>
              <w:pStyle w:val="12"/>
              <w:ind w:firstLine="0" w:firstLineChars="0"/>
              <w:rPr>
                <w:rFonts w:hint="eastAsia" w:ascii="仿宋_GB2312" w:hAnsi="仿宋_GB2312" w:eastAsia="仿宋_GB2312" w:cs="仿宋_GB2312"/>
                <w:sz w:val="28"/>
                <w:szCs w:val="28"/>
              </w:rPr>
            </w:pPr>
          </w:p>
        </w:tc>
        <w:tc>
          <w:tcPr>
            <w:tcW w:w="1365" w:type="dxa"/>
          </w:tcPr>
          <w:p w14:paraId="561FD58D">
            <w:pPr>
              <w:pStyle w:val="12"/>
              <w:ind w:firstLine="0" w:firstLineChars="0"/>
              <w:rPr>
                <w:rFonts w:hint="eastAsia" w:ascii="仿宋_GB2312" w:hAnsi="仿宋_GB2312" w:eastAsia="仿宋_GB2312" w:cs="仿宋_GB2312"/>
                <w:sz w:val="28"/>
                <w:szCs w:val="28"/>
              </w:rPr>
            </w:pPr>
          </w:p>
        </w:tc>
        <w:tc>
          <w:tcPr>
            <w:tcW w:w="1290" w:type="dxa"/>
          </w:tcPr>
          <w:p w14:paraId="6C81C075">
            <w:pPr>
              <w:pStyle w:val="12"/>
              <w:ind w:firstLine="0" w:firstLineChars="0"/>
              <w:rPr>
                <w:rFonts w:hint="eastAsia" w:ascii="仿宋_GB2312" w:hAnsi="仿宋_GB2312" w:eastAsia="仿宋_GB2312" w:cs="仿宋_GB2312"/>
                <w:sz w:val="28"/>
                <w:szCs w:val="28"/>
              </w:rPr>
            </w:pPr>
          </w:p>
        </w:tc>
        <w:tc>
          <w:tcPr>
            <w:tcW w:w="1173" w:type="dxa"/>
          </w:tcPr>
          <w:p w14:paraId="11C068BE">
            <w:pPr>
              <w:pStyle w:val="12"/>
              <w:ind w:firstLine="0" w:firstLineChars="0"/>
              <w:rPr>
                <w:rFonts w:hint="eastAsia" w:ascii="仿宋_GB2312" w:hAnsi="仿宋_GB2312" w:eastAsia="仿宋_GB2312" w:cs="仿宋_GB2312"/>
                <w:sz w:val="28"/>
                <w:szCs w:val="28"/>
              </w:rPr>
            </w:pPr>
          </w:p>
        </w:tc>
      </w:tr>
    </w:tbl>
    <w:p w14:paraId="5F2E2AE8">
      <w:pPr>
        <w:pStyle w:val="12"/>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服务范围、地点和时间</w:t>
      </w:r>
    </w:p>
    <w:p w14:paraId="7DEAE86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20" w:leftChars="0" w:right="0" w:rightChars="0"/>
        <w:jc w:val="both"/>
        <w:textAlignment w:val="auto"/>
        <w:rPr>
          <w:rFonts w:hint="default"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lang w:val="en-US" w:eastAsia="zh-CN" w:bidi="ar-SA"/>
        </w:rPr>
        <w:t>1.服务范围：</w:t>
      </w:r>
      <w:r>
        <w:rPr>
          <w:rFonts w:hint="eastAsia" w:ascii="仿宋_GB2312" w:hAnsi="仿宋_GB2312" w:eastAsia="仿宋_GB2312" w:cs="仿宋_GB2312"/>
          <w:kern w:val="2"/>
          <w:sz w:val="28"/>
          <w:szCs w:val="28"/>
          <w:u w:val="single"/>
          <w:lang w:val="en-US" w:eastAsia="zh-CN" w:bidi="ar-SA"/>
        </w:rPr>
        <w:t xml:space="preserve">                </w:t>
      </w:r>
    </w:p>
    <w:p w14:paraId="0BEEE8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2.服务地点：</w:t>
      </w:r>
      <w:r>
        <w:rPr>
          <w:rFonts w:hint="eastAsia" w:ascii="仿宋_GB2312" w:hAnsi="仿宋_GB2312" w:eastAsia="仿宋_GB2312" w:cs="仿宋_GB2312"/>
          <w:kern w:val="2"/>
          <w:sz w:val="28"/>
          <w:szCs w:val="28"/>
          <w:u w:val="single"/>
          <w:lang w:val="en-US" w:eastAsia="zh-CN" w:bidi="ar-SA"/>
        </w:rPr>
        <w:t xml:space="preserve">                </w:t>
      </w:r>
    </w:p>
    <w:p w14:paraId="42BA190A">
      <w:pPr>
        <w:pStyle w:val="11"/>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3.服务完成时间：自合同签订之日起</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none"/>
          <w:lang w:val="en-US" w:eastAsia="zh-CN" w:bidi="ar-SA"/>
        </w:rPr>
        <w:t>日</w:t>
      </w:r>
    </w:p>
    <w:p w14:paraId="1008FCB8">
      <w:pPr>
        <w:pStyle w:val="12"/>
        <w:numPr>
          <w:ilvl w:val="0"/>
          <w:numId w:val="1"/>
        </w:numPr>
        <w:ind w:firstLineChars="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服务内容、质量标准和要求</w:t>
      </w:r>
    </w:p>
    <w:p w14:paraId="20393B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1.服务工作量的计量方式：</w:t>
      </w:r>
      <w:r>
        <w:rPr>
          <w:rFonts w:hint="eastAsia" w:ascii="仿宋_GB2312" w:hAnsi="仿宋_GB2312" w:eastAsia="仿宋_GB2312" w:cs="仿宋_GB2312"/>
          <w:kern w:val="2"/>
          <w:sz w:val="28"/>
          <w:szCs w:val="28"/>
          <w:u w:val="single"/>
          <w:lang w:val="en-US" w:eastAsia="zh-CN" w:bidi="ar-SA"/>
        </w:rPr>
        <w:t xml:space="preserve">               </w:t>
      </w:r>
    </w:p>
    <w:p w14:paraId="2E129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2.服务内容：</w:t>
      </w:r>
      <w:r>
        <w:rPr>
          <w:rFonts w:hint="eastAsia" w:ascii="仿宋_GB2312" w:hAnsi="仿宋_GB2312" w:eastAsia="仿宋_GB2312" w:cs="仿宋_GB2312"/>
          <w:kern w:val="2"/>
          <w:sz w:val="28"/>
          <w:szCs w:val="28"/>
          <w:u w:val="single"/>
          <w:lang w:val="en-US" w:eastAsia="zh-CN" w:bidi="ar-SA"/>
        </w:rPr>
        <w:t xml:space="preserve">                            </w:t>
      </w:r>
    </w:p>
    <w:p w14:paraId="0DF8F0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3.技术保障、服务人员组成、所涉及的货物的质量标准：</w:t>
      </w:r>
    </w:p>
    <w:p w14:paraId="36970C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（1）服务技术保障：</w:t>
      </w:r>
      <w:r>
        <w:rPr>
          <w:rFonts w:hint="eastAsia" w:ascii="仿宋_GB2312" w:hAnsi="仿宋_GB2312" w:eastAsia="仿宋_GB2312" w:cs="仿宋_GB2312"/>
          <w:kern w:val="2"/>
          <w:sz w:val="28"/>
          <w:szCs w:val="28"/>
          <w:u w:val="single"/>
          <w:lang w:val="en-US" w:eastAsia="zh-CN" w:bidi="ar-SA"/>
        </w:rPr>
        <w:t xml:space="preserve">              </w:t>
      </w:r>
    </w:p>
    <w:p w14:paraId="0CCA9C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（2）服务人员组成：</w:t>
      </w:r>
      <w:r>
        <w:rPr>
          <w:rFonts w:hint="eastAsia" w:ascii="仿宋_GB2312" w:hAnsi="仿宋_GB2312" w:eastAsia="仿宋_GB2312" w:cs="仿宋_GB2312"/>
          <w:kern w:val="2"/>
          <w:sz w:val="28"/>
          <w:szCs w:val="28"/>
          <w:u w:val="single"/>
          <w:lang w:val="en-US" w:eastAsia="zh-CN" w:bidi="ar-SA"/>
        </w:rPr>
        <w:t xml:space="preserve">               </w:t>
      </w:r>
    </w:p>
    <w:p w14:paraId="6C5E9B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（3）服务设备及物资投入及质量标准：</w:t>
      </w:r>
      <w:r>
        <w:rPr>
          <w:rFonts w:hint="eastAsia" w:ascii="仿宋_GB2312" w:hAnsi="仿宋_GB2312" w:eastAsia="仿宋_GB2312" w:cs="仿宋_GB2312"/>
          <w:kern w:val="2"/>
          <w:sz w:val="28"/>
          <w:szCs w:val="28"/>
          <w:u w:val="single"/>
          <w:lang w:val="en-US" w:eastAsia="zh-CN" w:bidi="ar-SA"/>
        </w:rPr>
        <w:t xml:space="preserve">              </w:t>
      </w:r>
    </w:p>
    <w:p w14:paraId="62CFC1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color w:val="FF0000"/>
          <w:kern w:val="2"/>
          <w:sz w:val="28"/>
          <w:szCs w:val="28"/>
          <w:lang w:val="en-US" w:eastAsia="zh-CN" w:bidi="ar-SA"/>
        </w:rPr>
        <w:t>技术、服务要求：</w:t>
      </w:r>
    </w:p>
    <w:p w14:paraId="2C2A9E69">
      <w:pPr>
        <w:pStyle w:val="12"/>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资金支付方式、时间和条件</w:t>
      </w:r>
    </w:p>
    <w:p w14:paraId="1C64836F">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pPr>
      <w:r>
        <w:rPr>
          <w:rFonts w:hint="eastAsia" w:ascii="仿宋_GB2312" w:hAnsi="仿宋_GB2312" w:eastAsia="仿宋_GB2312" w:cs="仿宋_GB2312"/>
          <w:color w:val="FF0000"/>
          <w:sz w:val="28"/>
          <w:szCs w:val="28"/>
        </w:rPr>
        <w:t>验收合格后十五日内付清合同总金额，支付方式为银行转账，</w:t>
      </w:r>
      <w:r>
        <w:rPr>
          <w:rFonts w:hint="eastAsia" w:ascii="仿宋_GB2312" w:hAnsi="仿宋_GB2312" w:eastAsia="仿宋_GB2312" w:cs="仿宋_GB2312"/>
          <w:color w:val="FF0000"/>
          <w:sz w:val="28"/>
          <w:szCs w:val="28"/>
          <w:lang w:val="en-US" w:eastAsia="zh-CN"/>
        </w:rPr>
        <w:t>中标人</w:t>
      </w:r>
      <w:r>
        <w:rPr>
          <w:rFonts w:hint="eastAsia" w:ascii="仿宋_GB2312" w:hAnsi="仿宋_GB2312" w:eastAsia="仿宋_GB2312" w:cs="仿宋_GB2312"/>
          <w:color w:val="FF0000"/>
          <w:sz w:val="28"/>
          <w:szCs w:val="28"/>
        </w:rPr>
        <w:t>须提供正式的税务发票。</w:t>
      </w:r>
    </w:p>
    <w:p w14:paraId="60D3E3E6">
      <w:pPr>
        <w:pStyle w:val="12"/>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履约保证金</w:t>
      </w:r>
    </w:p>
    <w:p w14:paraId="61ED1654">
      <w:pPr>
        <w:pStyle w:val="12"/>
        <w:numPr>
          <w:ilvl w:val="0"/>
          <w:numId w:val="0"/>
        </w:numPr>
        <w:ind w:left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color w:val="FF0000"/>
          <w:kern w:val="0"/>
          <w:sz w:val="28"/>
          <w:szCs w:val="28"/>
          <w:lang w:val="en-US" w:eastAsia="zh-CN" w:bidi="ar-SA"/>
        </w:rPr>
        <w:t xml:space="preserve">  □ 本项目不收取履约保证金。</w:t>
      </w:r>
    </w:p>
    <w:p w14:paraId="535D38FE">
      <w:pPr>
        <w:pStyle w:val="6"/>
        <w:ind w:firstLine="280" w:firstLineChars="100"/>
        <w:rPr>
          <w:rFonts w:hint="eastAsia" w:ascii="仿宋_GB2312" w:hAnsi="仿宋_GB2312" w:eastAsia="仿宋_GB2312" w:cs="仿宋_GB2312"/>
          <w:b/>
          <w:bCs/>
          <w:sz w:val="28"/>
          <w:szCs w:val="28"/>
        </w:rPr>
      </w:pPr>
      <w:r>
        <w:rPr>
          <w:rFonts w:hint="eastAsia" w:ascii="仿宋_GB2312" w:hAnsi="仿宋_GB2312" w:eastAsia="仿宋_GB2312" w:cs="仿宋_GB2312"/>
          <w:color w:val="FF0000"/>
          <w:kern w:val="0"/>
          <w:sz w:val="28"/>
          <w:szCs w:val="28"/>
          <w:lang w:val="en-US" w:eastAsia="zh-CN" w:bidi="ar-SA"/>
        </w:rPr>
        <w:t xml:space="preserve"> □ 本项目收取履约保证金，成交人须在收到中标通知书之日起五个工作日内向采购人缴纳中标金额</w:t>
      </w:r>
      <w:r>
        <w:rPr>
          <w:rFonts w:hint="eastAsia" w:ascii="仿宋_GB2312" w:hAnsi="仿宋_GB2312" w:eastAsia="仿宋_GB2312" w:cs="仿宋_GB2312"/>
          <w:color w:val="FF0000"/>
          <w:kern w:val="0"/>
          <w:sz w:val="28"/>
          <w:szCs w:val="28"/>
          <w:u w:val="single"/>
          <w:lang w:val="en-US" w:eastAsia="zh-CN" w:bidi="ar-SA"/>
        </w:rPr>
        <w:t xml:space="preserve">     %</w:t>
      </w:r>
      <w:r>
        <w:rPr>
          <w:rFonts w:hint="eastAsia" w:ascii="仿宋_GB2312" w:hAnsi="仿宋_GB2312" w:eastAsia="仿宋_GB2312" w:cs="仿宋_GB2312"/>
          <w:color w:val="FF0000"/>
          <w:kern w:val="0"/>
          <w:sz w:val="28"/>
          <w:szCs w:val="28"/>
          <w:lang w:val="en-US" w:eastAsia="zh-CN" w:bidi="ar-SA"/>
        </w:rPr>
        <w:t>的履约保证金。履约保证金可以银行转账、电汇、保函等任一方式提交（开户银行：农业银行武夷山市支行营业部；开户名称：武夷学院；银行账号：13970101040011043），</w:t>
      </w:r>
      <w:bookmarkStart w:id="0" w:name="_GoBack"/>
      <w:r>
        <w:rPr>
          <w:rFonts w:hint="eastAsia" w:ascii="仿宋_GB2312" w:hAnsi="仿宋_GB2312" w:eastAsia="仿宋_GB2312" w:cs="仿宋_GB2312"/>
          <w:color w:val="FF0000"/>
          <w:kern w:val="0"/>
          <w:sz w:val="28"/>
          <w:szCs w:val="28"/>
          <w:lang w:val="en-US" w:eastAsia="zh-CN" w:bidi="ar-SA"/>
        </w:rPr>
        <w:t>如果是以保函形式缴纳履约保证金的，中标人必须开具见索即付(无条件支付)银行保函。</w:t>
      </w:r>
      <w:bookmarkEnd w:id="0"/>
      <w:r>
        <w:rPr>
          <w:rFonts w:hint="eastAsia" w:ascii="仿宋_GB2312" w:hAnsi="仿宋_GB2312" w:eastAsia="仿宋_GB2312" w:cs="仿宋_GB2312"/>
          <w:color w:val="FF0000"/>
          <w:kern w:val="0"/>
          <w:sz w:val="28"/>
          <w:szCs w:val="28"/>
          <w:lang w:val="en-US" w:eastAsia="zh-CN" w:bidi="ar-SA"/>
        </w:rPr>
        <w:t>履约保证金在项目验收合格且无未了事宜后无息退还，中标方如不按规定签订合同或不按合同履行义务，履约保证金不予退还，若对采购方造成的损失超过履约保证金还应对超出部分予以赔偿。</w:t>
      </w:r>
    </w:p>
    <w:p w14:paraId="764DB2DD">
      <w:pPr>
        <w:pStyle w:val="12"/>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14:paraId="676A6C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6.1采购人违约责任</w:t>
      </w:r>
    </w:p>
    <w:p w14:paraId="4C02F0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（1）采购人无正当理由拒绝中标人提供合格服务的，采购人应向中标人偿付所拒收合同总价</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的违约金。</w:t>
      </w:r>
    </w:p>
    <w:p w14:paraId="232D31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（2）采购人无故逾期验收和办理合同款项支付手续的,采购人应按逾期付款总额每日</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向中标人支付违约金。</w:t>
      </w:r>
    </w:p>
    <w:p w14:paraId="6B201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（3）其他违约情形</w:t>
      </w:r>
    </w:p>
    <w:p w14:paraId="279DC3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6.2中标人违约责任</w:t>
      </w:r>
    </w:p>
    <w:p w14:paraId="7C7AAB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（1）中标人无故逾期履行服务的，中标人应按逾期交付总额每日</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向采购人支付违约金，由采购人从待付货款中扣除。中标人无正当理由逾期超过约定日期</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none"/>
          <w:lang w:val="en-US" w:eastAsia="zh-CN" w:bidi="ar-SA"/>
        </w:rPr>
        <w:t>天</w:t>
      </w:r>
      <w:r>
        <w:rPr>
          <w:rFonts w:hint="eastAsia" w:ascii="仿宋_GB2312" w:hAnsi="仿宋_GB2312" w:eastAsia="仿宋_GB2312" w:cs="仿宋_GB2312"/>
          <w:kern w:val="2"/>
          <w:sz w:val="28"/>
          <w:szCs w:val="28"/>
          <w:lang w:val="en-US" w:eastAsia="zh-CN" w:bidi="ar-SA"/>
        </w:rPr>
        <w:t>仍不能交付的，视为“中标人不按合同约定履约”；</w:t>
      </w:r>
    </w:p>
    <w:p w14:paraId="1FBBC4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（2）中标人所履行的服务不符合合同规定及《采购文件》规定标准的，采购人有权拒绝，中标人愿意整改但逾期履行的，按中标人逾期履行处理。中标人拒绝整改的，视为“中标人不按合同约定履约”</w:t>
      </w:r>
    </w:p>
    <w:p w14:paraId="5DDF9B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FF0000"/>
          <w:kern w:val="2"/>
          <w:sz w:val="28"/>
          <w:szCs w:val="28"/>
          <w:u w:val="none"/>
          <w:lang w:val="en-US" w:eastAsia="zh-CN" w:bidi="ar-SA"/>
        </w:rPr>
      </w:pPr>
      <w:r>
        <w:rPr>
          <w:rFonts w:hint="eastAsia" w:ascii="仿宋_GB2312" w:hAnsi="仿宋_GB2312" w:eastAsia="仿宋_GB2312" w:cs="仿宋_GB2312"/>
          <w:kern w:val="2"/>
          <w:sz w:val="28"/>
          <w:szCs w:val="28"/>
          <w:lang w:val="en-US" w:eastAsia="zh-CN" w:bidi="ar-SA"/>
        </w:rPr>
        <w:t>（3）中标人不按合同约定履约的，采购人可以解除采购合同，</w:t>
      </w:r>
      <w:r>
        <w:rPr>
          <w:rFonts w:hint="eastAsia" w:ascii="仿宋_GB2312" w:hAnsi="仿宋_GB2312" w:eastAsia="仿宋_GB2312" w:cs="仿宋_GB2312"/>
          <w:color w:val="FF0000"/>
          <w:kern w:val="2"/>
          <w:sz w:val="28"/>
          <w:szCs w:val="28"/>
          <w:lang w:val="en-US" w:eastAsia="zh-CN" w:bidi="ar-SA"/>
        </w:rPr>
        <w:t>且中标人还须向采购人支付</w:t>
      </w:r>
      <w:r>
        <w:rPr>
          <w:rFonts w:hint="eastAsia" w:ascii="仿宋_GB2312" w:hAnsi="仿宋_GB2312" w:eastAsia="仿宋_GB2312" w:cs="仿宋_GB2312"/>
          <w:color w:val="FF0000"/>
          <w:kern w:val="2"/>
          <w:sz w:val="28"/>
          <w:szCs w:val="28"/>
          <w:u w:val="none"/>
          <w:lang w:val="en-US" w:eastAsia="zh-CN" w:bidi="ar-SA"/>
        </w:rPr>
        <w:t>合同总金额</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的违约金（或</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元的违约金）。</w:t>
      </w:r>
    </w:p>
    <w:p w14:paraId="0C7386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（4）其他违约情形</w:t>
      </w:r>
    </w:p>
    <w:p w14:paraId="6DF11F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kern w:val="2"/>
          <w:sz w:val="28"/>
          <w:szCs w:val="28"/>
          <w:lang w:val="en-US" w:eastAsia="zh-CN" w:bidi="ar-SA"/>
        </w:rPr>
      </w:pPr>
    </w:p>
    <w:p w14:paraId="4AF0C4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kern w:val="2"/>
          <w:sz w:val="28"/>
          <w:szCs w:val="28"/>
          <w:lang w:val="en-US" w:eastAsia="zh-CN" w:bidi="ar-SA"/>
        </w:rPr>
      </w:pPr>
    </w:p>
    <w:p w14:paraId="5808A3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附件1：评分办法</w:t>
      </w:r>
      <w:r>
        <w:rPr>
          <w:rFonts w:hint="eastAsia" w:ascii="仿宋_GB2312" w:hAnsi="仿宋_GB2312" w:eastAsia="仿宋_GB2312" w:cs="仿宋_GB2312"/>
          <w:color w:val="FF0000"/>
          <w:kern w:val="2"/>
          <w:sz w:val="28"/>
          <w:szCs w:val="28"/>
          <w:lang w:val="en-US" w:eastAsia="zh-CN" w:bidi="ar-SA"/>
        </w:rPr>
        <w:t>（综合评分法需填写，其他的直接删除附件）</w:t>
      </w:r>
    </w:p>
    <w:p w14:paraId="5F70B2E4">
      <w:pPr>
        <w:pStyle w:val="7"/>
        <w:keepNext w:val="0"/>
        <w:keepLines w:val="0"/>
        <w:widowControl/>
        <w:suppressLineNumbers w:val="0"/>
        <w:ind w:left="0" w:firstLine="480"/>
        <w:rPr>
          <w:color w:val="FF0000"/>
        </w:rPr>
      </w:pPr>
      <w:r>
        <w:rPr>
          <w:rFonts w:hint="eastAsia" w:ascii="宋体" w:hAnsi="宋体" w:eastAsia="宋体" w:cs="宋体"/>
          <w:color w:val="FF0000"/>
          <w:sz w:val="24"/>
          <w:szCs w:val="24"/>
        </w:rPr>
        <w:t>①价格项（</w:t>
      </w:r>
      <w:r>
        <w:rPr>
          <w:rFonts w:hint="default" w:ascii="Calibri" w:hAnsi="Calibri" w:eastAsia="宋体" w:cs="Calibri"/>
          <w:color w:val="FF0000"/>
          <w:sz w:val="24"/>
          <w:szCs w:val="24"/>
        </w:rPr>
        <w:t>F1</w:t>
      </w:r>
      <w:r>
        <w:rPr>
          <w:rFonts w:hint="eastAsia" w:ascii="宋体" w:hAnsi="宋体" w:eastAsia="宋体" w:cs="宋体"/>
          <w:color w:val="FF0000"/>
          <w:sz w:val="24"/>
          <w:szCs w:val="24"/>
        </w:rPr>
        <w:t>×</w:t>
      </w:r>
      <w:r>
        <w:rPr>
          <w:rFonts w:hint="default" w:ascii="Calibri" w:hAnsi="Calibri" w:eastAsia="宋体" w:cs="Calibri"/>
          <w:color w:val="FF0000"/>
          <w:sz w:val="24"/>
          <w:szCs w:val="24"/>
        </w:rPr>
        <w:t>A1</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10%-30%</w:t>
      </w:r>
      <w:r>
        <w:rPr>
          <w:rFonts w:hint="eastAsia" w:ascii="宋体" w:hAnsi="宋体" w:eastAsia="宋体" w:cs="宋体"/>
          <w:color w:val="FF0000"/>
          <w:sz w:val="24"/>
          <w:szCs w:val="24"/>
        </w:rPr>
        <w:t>分。</w:t>
      </w:r>
    </w:p>
    <w:p w14:paraId="0112F120">
      <w:pPr>
        <w:pStyle w:val="7"/>
        <w:keepNext w:val="0"/>
        <w:keepLines w:val="0"/>
        <w:widowControl/>
        <w:suppressLineNumbers w:val="0"/>
        <w:ind w:left="0" w:firstLine="480"/>
        <w:rPr>
          <w:color w:val="FF0000"/>
        </w:rPr>
      </w:pPr>
      <w:r>
        <w:rPr>
          <w:rFonts w:hint="eastAsia" w:ascii="宋体" w:hAnsi="宋体" w:eastAsia="宋体" w:cs="宋体"/>
          <w:color w:val="FF0000"/>
          <w:sz w:val="24"/>
          <w:szCs w:val="24"/>
        </w:rPr>
        <w:t>②技术项（</w:t>
      </w:r>
      <w:r>
        <w:rPr>
          <w:rFonts w:hint="default" w:ascii="Calibri" w:hAnsi="Calibri" w:eastAsia="宋体" w:cs="Calibri"/>
          <w:color w:val="FF0000"/>
          <w:sz w:val="24"/>
          <w:szCs w:val="24"/>
        </w:rPr>
        <w:t>F2</w:t>
      </w:r>
      <w:r>
        <w:rPr>
          <w:rFonts w:hint="eastAsia" w:ascii="宋体" w:hAnsi="宋体" w:eastAsia="宋体" w:cs="宋体"/>
          <w:color w:val="FF0000"/>
          <w:sz w:val="24"/>
          <w:szCs w:val="24"/>
        </w:rPr>
        <w:t>×</w:t>
      </w:r>
      <w:r>
        <w:rPr>
          <w:rFonts w:hint="default" w:ascii="Calibri" w:hAnsi="Calibri" w:eastAsia="宋体" w:cs="Calibri"/>
          <w:color w:val="FF0000"/>
          <w:sz w:val="24"/>
          <w:szCs w:val="24"/>
        </w:rPr>
        <w:t>A2</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分。</w:t>
      </w:r>
    </w:p>
    <w:tbl>
      <w:tblPr>
        <w:tblStyle w:val="9"/>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0"/>
        <w:gridCol w:w="538"/>
        <w:gridCol w:w="7013"/>
      </w:tblGrid>
      <w:tr w14:paraId="4B99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60" w:type="dxa"/>
            <w:noWrap w:val="0"/>
            <w:vAlign w:val="center"/>
          </w:tcPr>
          <w:p w14:paraId="34BE5AC5">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评标项目</w:t>
            </w:r>
          </w:p>
        </w:tc>
        <w:tc>
          <w:tcPr>
            <w:tcW w:w="538" w:type="dxa"/>
            <w:noWrap w:val="0"/>
            <w:vAlign w:val="center"/>
          </w:tcPr>
          <w:p w14:paraId="16693D31">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评标分值</w:t>
            </w:r>
          </w:p>
        </w:tc>
        <w:tc>
          <w:tcPr>
            <w:tcW w:w="7013" w:type="dxa"/>
            <w:noWrap w:val="0"/>
            <w:vAlign w:val="center"/>
          </w:tcPr>
          <w:p w14:paraId="07032628">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评标方法描述</w:t>
            </w:r>
          </w:p>
        </w:tc>
      </w:tr>
      <w:tr w14:paraId="21D8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04AD2C74">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w:t>
            </w:r>
          </w:p>
        </w:tc>
        <w:tc>
          <w:tcPr>
            <w:tcW w:w="538" w:type="dxa"/>
            <w:noWrap w:val="0"/>
            <w:vAlign w:val="center"/>
          </w:tcPr>
          <w:p w14:paraId="6704649E">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4"/>
                <w:szCs w:val="24"/>
                <w:lang w:val="en-US" w:eastAsia="zh-CN" w:bidi="ar"/>
              </w:rPr>
              <w:t xml:space="preserve"> </w:t>
            </w:r>
          </w:p>
        </w:tc>
        <w:tc>
          <w:tcPr>
            <w:tcW w:w="0" w:type="auto"/>
            <w:noWrap w:val="0"/>
            <w:vAlign w:val="center"/>
          </w:tcPr>
          <w:p w14:paraId="602EA16B">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w:t>
            </w:r>
          </w:p>
        </w:tc>
      </w:tr>
    </w:tbl>
    <w:p w14:paraId="278AFE12">
      <w:pPr>
        <w:pStyle w:val="7"/>
        <w:keepNext w:val="0"/>
        <w:keepLines w:val="0"/>
        <w:widowControl/>
        <w:suppressLineNumbers w:val="0"/>
        <w:ind w:left="0" w:firstLine="480"/>
        <w:rPr>
          <w:color w:val="FF0000"/>
        </w:rPr>
      </w:pPr>
      <w:r>
        <w:rPr>
          <w:rFonts w:hint="eastAsia" w:ascii="宋体" w:hAnsi="宋体" w:eastAsia="宋体" w:cs="宋体"/>
          <w:color w:val="FF0000"/>
          <w:sz w:val="24"/>
          <w:szCs w:val="24"/>
        </w:rPr>
        <w:t>③商务项（</w:t>
      </w:r>
      <w:r>
        <w:rPr>
          <w:rFonts w:hint="default" w:ascii="Calibri" w:hAnsi="Calibri" w:eastAsia="宋体" w:cs="Calibri"/>
          <w:color w:val="FF0000"/>
          <w:sz w:val="24"/>
          <w:szCs w:val="24"/>
        </w:rPr>
        <w:t>F3</w:t>
      </w:r>
      <w:r>
        <w:rPr>
          <w:rFonts w:hint="eastAsia" w:ascii="宋体" w:hAnsi="宋体" w:eastAsia="宋体" w:cs="宋体"/>
          <w:color w:val="FF0000"/>
          <w:sz w:val="24"/>
          <w:szCs w:val="24"/>
        </w:rPr>
        <w:t>×</w:t>
      </w:r>
      <w:r>
        <w:rPr>
          <w:rFonts w:hint="default" w:ascii="Calibri" w:hAnsi="Calibri" w:eastAsia="宋体" w:cs="Calibri"/>
          <w:color w:val="FF0000"/>
          <w:sz w:val="24"/>
          <w:szCs w:val="24"/>
        </w:rPr>
        <w:t>A3</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分。</w:t>
      </w:r>
    </w:p>
    <w:tbl>
      <w:tblPr>
        <w:tblStyle w:val="9"/>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318"/>
        <w:gridCol w:w="7301"/>
      </w:tblGrid>
      <w:tr w14:paraId="3B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2" w:type="dxa"/>
            <w:noWrap w:val="0"/>
            <w:vAlign w:val="center"/>
          </w:tcPr>
          <w:p w14:paraId="1D404D1A">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评标项目</w:t>
            </w:r>
          </w:p>
        </w:tc>
        <w:tc>
          <w:tcPr>
            <w:tcW w:w="318" w:type="dxa"/>
            <w:noWrap w:val="0"/>
            <w:vAlign w:val="center"/>
          </w:tcPr>
          <w:p w14:paraId="68C19626">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评标分值</w:t>
            </w:r>
          </w:p>
        </w:tc>
        <w:tc>
          <w:tcPr>
            <w:tcW w:w="7301" w:type="dxa"/>
            <w:noWrap w:val="0"/>
            <w:vAlign w:val="center"/>
          </w:tcPr>
          <w:p w14:paraId="27CB4320">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评标方法描述</w:t>
            </w:r>
          </w:p>
        </w:tc>
      </w:tr>
      <w:tr w14:paraId="31F8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17607643">
            <w:pPr>
              <w:keepNext w:val="0"/>
              <w:keepLines w:val="0"/>
              <w:widowControl/>
              <w:suppressLineNumbers w:val="0"/>
              <w:jc w:val="left"/>
              <w:rPr>
                <w:color w:val="FF0000"/>
              </w:rPr>
            </w:pPr>
          </w:p>
        </w:tc>
        <w:tc>
          <w:tcPr>
            <w:tcW w:w="318" w:type="dxa"/>
            <w:noWrap w:val="0"/>
            <w:vAlign w:val="center"/>
          </w:tcPr>
          <w:p w14:paraId="5045EA34">
            <w:pPr>
              <w:keepNext w:val="0"/>
              <w:keepLines w:val="0"/>
              <w:widowControl/>
              <w:suppressLineNumbers w:val="0"/>
              <w:jc w:val="left"/>
              <w:rPr>
                <w:color w:val="FF0000"/>
              </w:rPr>
            </w:pPr>
          </w:p>
        </w:tc>
        <w:tc>
          <w:tcPr>
            <w:tcW w:w="0" w:type="auto"/>
            <w:noWrap w:val="0"/>
            <w:vAlign w:val="center"/>
          </w:tcPr>
          <w:p w14:paraId="40478092">
            <w:pPr>
              <w:keepNext w:val="0"/>
              <w:keepLines w:val="0"/>
              <w:widowControl/>
              <w:suppressLineNumbers w:val="0"/>
              <w:jc w:val="left"/>
              <w:rPr>
                <w:color w:val="FF0000"/>
              </w:rPr>
            </w:pPr>
          </w:p>
        </w:tc>
      </w:tr>
    </w:tbl>
    <w:p w14:paraId="261B02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p>
    <w:p w14:paraId="069970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A6522"/>
    <w:multiLevelType w:val="multilevel"/>
    <w:tmpl w:val="29CA652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2M3ZTU4YTdiZTE5MzViMjlkZTJhNGVlZDQxMjgifQ=="/>
  </w:docVars>
  <w:rsids>
    <w:rsidRoot w:val="1CFF3E0E"/>
    <w:rsid w:val="01F4586C"/>
    <w:rsid w:val="036D6CED"/>
    <w:rsid w:val="09CA0836"/>
    <w:rsid w:val="0B2E43FE"/>
    <w:rsid w:val="0CD65E68"/>
    <w:rsid w:val="0DD759F4"/>
    <w:rsid w:val="12074165"/>
    <w:rsid w:val="14763428"/>
    <w:rsid w:val="1A9C6BCC"/>
    <w:rsid w:val="1CFF3E0E"/>
    <w:rsid w:val="1D2268D1"/>
    <w:rsid w:val="1EE74333"/>
    <w:rsid w:val="205917DC"/>
    <w:rsid w:val="222F43F5"/>
    <w:rsid w:val="22985A7D"/>
    <w:rsid w:val="2498007F"/>
    <w:rsid w:val="2BF37A45"/>
    <w:rsid w:val="2F572211"/>
    <w:rsid w:val="32FD5AC5"/>
    <w:rsid w:val="33B517AF"/>
    <w:rsid w:val="33CE6322"/>
    <w:rsid w:val="345937A5"/>
    <w:rsid w:val="34B16E76"/>
    <w:rsid w:val="36801850"/>
    <w:rsid w:val="37FB1ED1"/>
    <w:rsid w:val="38E836CD"/>
    <w:rsid w:val="3B245E6D"/>
    <w:rsid w:val="3CF6500E"/>
    <w:rsid w:val="3FD6384F"/>
    <w:rsid w:val="41C15E16"/>
    <w:rsid w:val="47AC31AC"/>
    <w:rsid w:val="49DE41BE"/>
    <w:rsid w:val="4C265EB6"/>
    <w:rsid w:val="4DDF638F"/>
    <w:rsid w:val="4FB73380"/>
    <w:rsid w:val="51F511A5"/>
    <w:rsid w:val="53210AC4"/>
    <w:rsid w:val="53A67D45"/>
    <w:rsid w:val="53D13BDA"/>
    <w:rsid w:val="56B13352"/>
    <w:rsid w:val="58261995"/>
    <w:rsid w:val="588A258E"/>
    <w:rsid w:val="600862ED"/>
    <w:rsid w:val="63D42D3F"/>
    <w:rsid w:val="66F82568"/>
    <w:rsid w:val="672B32E8"/>
    <w:rsid w:val="67837FD4"/>
    <w:rsid w:val="67911DC7"/>
    <w:rsid w:val="681B1F45"/>
    <w:rsid w:val="686E3748"/>
    <w:rsid w:val="69E657C0"/>
    <w:rsid w:val="6F667367"/>
    <w:rsid w:val="73666C29"/>
    <w:rsid w:val="73BD6CCE"/>
    <w:rsid w:val="73F84206"/>
    <w:rsid w:val="7423781D"/>
    <w:rsid w:val="768B4EC5"/>
    <w:rsid w:val="7C7239FB"/>
    <w:rsid w:val="7F55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1"/>
    <w:next w:val="1"/>
    <w:qFormat/>
    <w:uiPriority w:val="0"/>
    <w:pPr>
      <w:spacing w:line="400" w:lineRule="exact"/>
      <w:ind w:firstLine="480" w:firstLineChars="200"/>
    </w:pPr>
    <w:rPr>
      <w:szCs w:val="24"/>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1222</Characters>
  <Lines>0</Lines>
  <Paragraphs>0</Paragraphs>
  <TotalTime>17</TotalTime>
  <ScaleCrop>false</ScaleCrop>
  <LinksUpToDate>false</LinksUpToDate>
  <CharactersWithSpaces>1523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2023-03-07T03:26:00Z</dcterms:created>
  <dc:creator>蓝荣萍</dc:creator>
  <cp:lastModifiedBy>呈羽踪</cp:lastModifiedBy>
  <dcterms:modified xsi:type="dcterms:W3CDTF">2026-06-15T08:19:55Z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44DADB70E4EC4DD6A2A5B2A5809359CE_13</vt:lpwstr>
  </property>
  <property fmtid="{D5CDD505-2E9C-101B-9397-08002B2CF9AE}" pid="4" name="KSOTemplateDocerSaveRecord">
    <vt:lpwstr>eyJoZGlkIjoiNGQ0M2M3ZTU4YTdiZTE5MzViMjlkZTJhNGVlZDQxMjgiLCJ1c2VySWQiOiI4NzY4MTMwMjAifQ==</vt:lpwstr>
  </property>
</Properties>
</file>